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61B04" w14:textId="4D4B7D41" w:rsidR="00921EE5" w:rsidRPr="00921EE5" w:rsidRDefault="00D37460" w:rsidP="00921EE5">
      <w:pPr>
        <w:pStyle w:val="CRCoverPage"/>
        <w:tabs>
          <w:tab w:val="right" w:pos="9639"/>
        </w:tabs>
        <w:rPr>
          <w:b/>
          <w:i/>
          <w:noProof/>
          <w:sz w:val="28"/>
        </w:rPr>
      </w:pPr>
      <w:r>
        <w:rPr>
          <w:b/>
          <w:noProof/>
          <w:sz w:val="24"/>
        </w:rPr>
        <w:t>3GPP TSG-SA5 Meeting #16</w:t>
      </w:r>
      <w:r w:rsidR="00B16BBD">
        <w:rPr>
          <w:b/>
          <w:noProof/>
          <w:sz w:val="24"/>
        </w:rPr>
        <w:t>2</w:t>
      </w:r>
      <w:r>
        <w:rPr>
          <w:b/>
          <w:i/>
          <w:noProof/>
          <w:sz w:val="28"/>
        </w:rPr>
        <w:tab/>
      </w:r>
      <w:bookmarkStart w:id="0" w:name="_Hlk202801241"/>
      <w:r w:rsidR="00921EE5" w:rsidRPr="00921EE5">
        <w:rPr>
          <w:b/>
          <w:iCs/>
          <w:noProof/>
          <w:sz w:val="28"/>
        </w:rPr>
        <w:t>S5-253320</w:t>
      </w:r>
      <w:r w:rsidR="00921EE5" w:rsidRPr="00921EE5">
        <w:rPr>
          <w:b/>
          <w:i/>
          <w:noProof/>
          <w:sz w:val="28"/>
        </w:rPr>
        <w:t xml:space="preserve"> </w:t>
      </w:r>
    </w:p>
    <w:bookmarkEnd w:id="0"/>
    <w:p w14:paraId="55E40C14" w14:textId="554A7B92" w:rsidR="00D37460" w:rsidRPr="00921EE5" w:rsidRDefault="00B16BBD" w:rsidP="00921EE5">
      <w:pPr>
        <w:pStyle w:val="CRCoverPage"/>
        <w:tabs>
          <w:tab w:val="right" w:pos="9639"/>
        </w:tabs>
        <w:spacing w:after="0"/>
        <w:rPr>
          <w:b/>
          <w:sz w:val="22"/>
          <w:szCs w:val="22"/>
        </w:rPr>
      </w:pPr>
      <w:r w:rsidRPr="00921EE5">
        <w:rPr>
          <w:b/>
          <w:sz w:val="24"/>
        </w:rPr>
        <w:t>Gothenburg, Sweeden</w:t>
      </w:r>
      <w:r w:rsidR="00D37460" w:rsidRPr="00921EE5">
        <w:rPr>
          <w:b/>
          <w:sz w:val="24"/>
        </w:rPr>
        <w:t xml:space="preserve">, </w:t>
      </w:r>
      <w:r w:rsidRPr="00921EE5">
        <w:rPr>
          <w:b/>
          <w:sz w:val="24"/>
        </w:rPr>
        <w:t>25</w:t>
      </w:r>
      <w:r w:rsidR="00D37460" w:rsidRPr="00921EE5">
        <w:rPr>
          <w:b/>
          <w:sz w:val="24"/>
        </w:rPr>
        <w:t xml:space="preserve"> - 2</w:t>
      </w:r>
      <w:r w:rsidRPr="00921EE5">
        <w:rPr>
          <w:b/>
          <w:sz w:val="24"/>
        </w:rPr>
        <w:t>9</w:t>
      </w:r>
      <w:r w:rsidR="00D37460" w:rsidRPr="00921EE5">
        <w:rPr>
          <w:b/>
          <w:sz w:val="24"/>
        </w:rPr>
        <w:t xml:space="preserve"> </w:t>
      </w:r>
      <w:r w:rsidRPr="00921EE5">
        <w:rPr>
          <w:b/>
          <w:sz w:val="24"/>
        </w:rPr>
        <w:t>August</w:t>
      </w:r>
      <w:r w:rsidR="00D37460" w:rsidRPr="00921EE5">
        <w:rPr>
          <w:b/>
          <w:sz w:val="24"/>
        </w:rPr>
        <w:t xml:space="preserve">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BD055F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63A7">
        <w:rPr>
          <w:rFonts w:ascii="Arial" w:hAnsi="Arial"/>
          <w:b/>
          <w:lang w:val="en-US"/>
        </w:rPr>
        <w:t>NEC</w:t>
      </w:r>
      <w:r w:rsidR="00543770">
        <w:rPr>
          <w:rFonts w:ascii="Arial" w:hAnsi="Arial" w:hint="eastAsia"/>
          <w:b/>
          <w:lang w:val="en-US" w:eastAsia="zh-CN"/>
        </w:rPr>
        <w:t>,</w:t>
      </w:r>
      <w:r w:rsidR="00543770" w:rsidRPr="00543770">
        <w:rPr>
          <w:rFonts w:ascii="Arial" w:hAnsi="Arial"/>
          <w:b/>
          <w:lang w:val="en-US"/>
        </w:rPr>
        <w:t xml:space="preserve"> </w:t>
      </w:r>
      <w:r w:rsidR="00543770">
        <w:rPr>
          <w:rFonts w:ascii="Arial" w:hAnsi="Arial"/>
          <w:b/>
          <w:lang w:val="en-US"/>
        </w:rPr>
        <w:t>Intel</w:t>
      </w:r>
      <w:r w:rsidR="00F00686">
        <w:rPr>
          <w:rFonts w:ascii="Arial" w:hAnsi="Arial"/>
          <w:b/>
          <w:lang w:val="en-US"/>
        </w:rPr>
        <w:t xml:space="preserve">, </w:t>
      </w:r>
      <w:r w:rsidR="0068253B">
        <w:rPr>
          <w:rFonts w:ascii="Arial" w:hAnsi="Arial"/>
          <w:b/>
          <w:lang w:val="en-US"/>
        </w:rPr>
        <w:t xml:space="preserve">Huawei, </w:t>
      </w:r>
      <w:r w:rsidR="007F34E0">
        <w:rPr>
          <w:rFonts w:ascii="Arial" w:hAnsi="Arial"/>
          <w:b/>
          <w:lang w:val="en-US"/>
        </w:rPr>
        <w:t>AT&amp;T, ZTE</w:t>
      </w:r>
      <w:r w:rsidR="00BC60E3">
        <w:rPr>
          <w:rFonts w:ascii="Arial" w:hAnsi="Arial"/>
          <w:b/>
          <w:lang w:val="en-US"/>
        </w:rPr>
        <w:t>, CATT, MATRIXX Software</w:t>
      </w:r>
      <w:r w:rsidR="003C4788">
        <w:rPr>
          <w:rFonts w:ascii="Arial" w:hAnsi="Arial"/>
          <w:b/>
          <w:lang w:val="en-US"/>
        </w:rPr>
        <w:t xml:space="preserve">, </w:t>
      </w:r>
      <w:r w:rsidR="003C4788" w:rsidRPr="003C4788">
        <w:rPr>
          <w:rFonts w:ascii="Arial" w:hAnsi="Arial"/>
          <w:b/>
          <w:bCs/>
        </w:rPr>
        <w:t>Deutsche Telekom</w:t>
      </w:r>
      <w:r w:rsidR="00FE0DB7">
        <w:rPr>
          <w:rFonts w:ascii="Arial" w:hAnsi="Arial"/>
          <w:b/>
          <w:bCs/>
        </w:rPr>
        <w:t>, Verizon, China Unicom</w:t>
      </w:r>
      <w:r w:rsidR="00401FF7">
        <w:rPr>
          <w:rFonts w:ascii="Arial" w:hAnsi="Arial"/>
          <w:b/>
          <w:bCs/>
        </w:rPr>
        <w:t>, China Mobile</w:t>
      </w:r>
      <w:r w:rsidR="00DE0B47">
        <w:rPr>
          <w:rFonts w:ascii="Arial" w:hAnsi="Arial"/>
          <w:b/>
          <w:bCs/>
        </w:rPr>
        <w:t>, Orange</w:t>
      </w:r>
    </w:p>
    <w:p w14:paraId="2C458A19" w14:textId="590C6A1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202801277"/>
      <w:r w:rsidR="00A130C8">
        <w:rPr>
          <w:rFonts w:ascii="Arial" w:hAnsi="Arial" w:cs="Arial"/>
          <w:b/>
        </w:rPr>
        <w:t xml:space="preserve">Discussion Paper: </w:t>
      </w:r>
      <w:r w:rsidR="000E26E4" w:rsidRPr="000E26E4">
        <w:rPr>
          <w:rFonts w:ascii="Arial" w:hAnsi="Arial" w:cs="Arial"/>
          <w:b/>
        </w:rPr>
        <w:t>addition of architecture r</w:t>
      </w:r>
      <w:r w:rsidR="000E26E4" w:rsidRPr="000E26E4">
        <w:rPr>
          <w:rFonts w:ascii="Arial" w:hAnsi="Arial" w:cs="Arial" w:hint="eastAsia"/>
          <w:b/>
        </w:rPr>
        <w:t xml:space="preserve">eference </w:t>
      </w:r>
      <w:r w:rsidR="000E26E4" w:rsidRPr="000E26E4">
        <w:rPr>
          <w:rFonts w:ascii="Arial" w:hAnsi="Arial" w:cs="Arial"/>
          <w:b/>
        </w:rPr>
        <w:t>model for</w:t>
      </w:r>
      <w:r w:rsidR="000E26E4" w:rsidRPr="000E26E4">
        <w:rPr>
          <w:rFonts w:ascii="Arial" w:hAnsi="Arial" w:cs="Arial"/>
          <w:b/>
          <w:lang w:val="en-US"/>
        </w:rPr>
        <w:t xml:space="preserve"> </w:t>
      </w:r>
      <w:r w:rsidR="000E26E4" w:rsidRPr="000E26E4">
        <w:rPr>
          <w:rFonts w:ascii="Arial" w:hAnsi="Arial" w:cs="Arial" w:hint="eastAsia"/>
          <w:b/>
        </w:rPr>
        <w:t>m</w:t>
      </w:r>
      <w:r w:rsidR="000E26E4" w:rsidRPr="000E26E4">
        <w:rPr>
          <w:rFonts w:ascii="Arial" w:hAnsi="Arial" w:cs="Arial"/>
          <w:b/>
        </w:rPr>
        <w:t>anagement and orchestration in support of SBMA</w:t>
      </w:r>
    </w:p>
    <w:bookmarkEnd w:id="1"/>
    <w:p w14:paraId="02CFB229" w14:textId="7AF0DFD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r w:rsidR="000C63A7">
        <w:rPr>
          <w:rFonts w:ascii="Arial" w:hAnsi="Arial"/>
          <w:b/>
          <w:lang w:eastAsia="zh-CN"/>
        </w:rPr>
        <w:t xml:space="preserve"> &amp;</w:t>
      </w:r>
      <w:r w:rsidR="001C7FB2">
        <w:rPr>
          <w:rFonts w:ascii="Arial" w:hAnsi="Arial"/>
          <w:b/>
          <w:lang w:eastAsia="zh-CN"/>
        </w:rPr>
        <w:t xml:space="preserve"> Endorsement</w:t>
      </w:r>
    </w:p>
    <w:p w14:paraId="74F27089" w14:textId="51D7BA4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A368D" w:rsidRPr="005A368D">
        <w:rPr>
          <w:rFonts w:ascii="Arial" w:hAnsi="Arial"/>
          <w:b/>
        </w:rPr>
        <w:t>6.19.8.1 Service Based Management Architecture enhancement phase 3</w:t>
      </w:r>
    </w:p>
    <w:p w14:paraId="13D426F8" w14:textId="77777777" w:rsidR="00C022E3" w:rsidRDefault="00C022E3">
      <w:pPr>
        <w:pStyle w:val="Heading1"/>
      </w:pPr>
      <w:r>
        <w:t>1</w:t>
      </w:r>
      <w:r>
        <w:tab/>
        <w:t>Decision/action requested</w:t>
      </w:r>
    </w:p>
    <w:p w14:paraId="4CE7B190" w14:textId="6139DE5D" w:rsidR="00C022E3" w:rsidRPr="00BA5192" w:rsidRDefault="007E2361">
      <w:pPr>
        <w:pBdr>
          <w:top w:val="single" w:sz="4" w:space="1" w:color="auto"/>
          <w:left w:val="single" w:sz="4" w:space="4" w:color="auto"/>
          <w:bottom w:val="single" w:sz="4" w:space="1" w:color="auto"/>
          <w:right w:val="single" w:sz="4" w:space="4" w:color="auto"/>
        </w:pBdr>
        <w:shd w:val="clear" w:color="auto" w:fill="FFFF99"/>
        <w:jc w:val="center"/>
        <w:rPr>
          <w:sz w:val="24"/>
          <w:szCs w:val="24"/>
          <w:lang w:eastAsia="zh-CN"/>
        </w:rPr>
      </w:pPr>
      <w:r w:rsidRPr="00BA5192">
        <w:rPr>
          <w:b/>
          <w:i/>
          <w:sz w:val="24"/>
          <w:szCs w:val="24"/>
        </w:rPr>
        <w:t>The group is asked to discuss and endorse the proposals.</w:t>
      </w:r>
    </w:p>
    <w:p w14:paraId="6F93C75D" w14:textId="77777777" w:rsidR="00C022E3" w:rsidRDefault="00C022E3">
      <w:pPr>
        <w:pStyle w:val="Heading1"/>
      </w:pPr>
      <w:r>
        <w:t>2</w:t>
      </w:r>
      <w:r>
        <w:tab/>
        <w:t>References</w:t>
      </w:r>
    </w:p>
    <w:p w14:paraId="554CE0CA" w14:textId="77777777" w:rsidR="00B16BBD" w:rsidRPr="00B16BBD" w:rsidRDefault="00B16BBD" w:rsidP="00B16BBD">
      <w:pPr>
        <w:pStyle w:val="Reference"/>
        <w:rPr>
          <w:b/>
          <w:bCs/>
          <w:iCs/>
        </w:rPr>
      </w:pPr>
      <w:r>
        <w:t>[1]</w:t>
      </w:r>
      <w:r>
        <w:tab/>
      </w:r>
      <w:r w:rsidRPr="00B16BBD">
        <w:rPr>
          <w:bCs/>
          <w:iCs/>
        </w:rPr>
        <w:t>S5-25</w:t>
      </w:r>
      <w:r w:rsidRPr="00B16BBD">
        <w:rPr>
          <w:bCs/>
          <w:iCs/>
          <w:lang w:val="en-US"/>
        </w:rPr>
        <w:t>3025</w:t>
      </w:r>
      <w:r>
        <w:rPr>
          <w:bCs/>
          <w:iCs/>
          <w:lang w:val="en-US"/>
        </w:rPr>
        <w:t xml:space="preserve">; </w:t>
      </w:r>
      <w:r w:rsidRPr="00B16BBD">
        <w:rPr>
          <w:iCs/>
        </w:rPr>
        <w:t>Discussion Paper: Introduction of management and orchestration reference arc architecture in support of SBMA</w:t>
      </w:r>
    </w:p>
    <w:p w14:paraId="4471925B" w14:textId="4B70843A" w:rsidR="00B16BBD" w:rsidRDefault="00B16BBD">
      <w:pPr>
        <w:pStyle w:val="Reference"/>
      </w:pPr>
      <w:r>
        <w:t>[2]</w:t>
      </w:r>
      <w:r>
        <w:tab/>
      </w:r>
      <w:r w:rsidRPr="00B16BBD">
        <w:rPr>
          <w:bCs/>
          <w:iCs/>
        </w:rPr>
        <w:t xml:space="preserve">S5-252639; Rel-19 CR TS 28.533 addition of </w:t>
      </w:r>
      <w:r w:rsidRPr="00B16BBD">
        <w:rPr>
          <w:rFonts w:hint="eastAsia"/>
          <w:bCs/>
          <w:iCs/>
        </w:rPr>
        <w:t>m</w:t>
      </w:r>
      <w:r w:rsidRPr="00B16BBD">
        <w:rPr>
          <w:bCs/>
          <w:iCs/>
        </w:rPr>
        <w:t xml:space="preserve">anagement and orchestration reference </w:t>
      </w:r>
      <w:r w:rsidRPr="00B16BBD">
        <w:rPr>
          <w:rFonts w:hint="eastAsia"/>
          <w:bCs/>
          <w:iCs/>
        </w:rPr>
        <w:t>architecture</w:t>
      </w:r>
      <w:r w:rsidRPr="00B16BBD">
        <w:rPr>
          <w:bCs/>
          <w:iCs/>
        </w:rPr>
        <w:t xml:space="preserve"> in support of SBMA</w:t>
      </w:r>
    </w:p>
    <w:p w14:paraId="4D6A2FC0" w14:textId="442D8C8D" w:rsidR="00C022E3" w:rsidRDefault="00C022E3">
      <w:pPr>
        <w:pStyle w:val="Reference"/>
      </w:pPr>
      <w:r w:rsidRPr="000C63A7">
        <w:t>[</w:t>
      </w:r>
      <w:r w:rsidR="00064A58">
        <w:t>3</w:t>
      </w:r>
      <w:r w:rsidRPr="000C63A7">
        <w:t>]</w:t>
      </w:r>
      <w:r w:rsidRPr="000C63A7">
        <w:tab/>
        <w:t xml:space="preserve">3GPP TS </w:t>
      </w:r>
      <w:r w:rsidR="000C63A7" w:rsidRPr="000C63A7">
        <w:t>28.533</w:t>
      </w:r>
      <w:r w:rsidRPr="000C63A7">
        <w:t xml:space="preserve"> </w:t>
      </w:r>
      <w:r w:rsidR="000C63A7" w:rsidRPr="000C63A7">
        <w:t>Management and orchestration; Architecture framework</w:t>
      </w:r>
    </w:p>
    <w:p w14:paraId="6675D5E4" w14:textId="334C11C1" w:rsidR="00020D19" w:rsidRDefault="000C63A7">
      <w:pPr>
        <w:pStyle w:val="Reference"/>
      </w:pPr>
      <w:r>
        <w:t>[</w:t>
      </w:r>
      <w:r w:rsidR="00064A58">
        <w:t>4</w:t>
      </w:r>
      <w:r>
        <w:t>]</w:t>
      </w:r>
      <w:r>
        <w:tab/>
      </w:r>
      <w:r w:rsidR="00020D19" w:rsidRPr="00020D19">
        <w:rPr>
          <w:bCs/>
          <w:iCs/>
        </w:rPr>
        <w:t>S5-25</w:t>
      </w:r>
      <w:r w:rsidR="005A368D">
        <w:rPr>
          <w:bCs/>
          <w:iCs/>
        </w:rPr>
        <w:t>3322</w:t>
      </w:r>
      <w:r w:rsidR="00020D19" w:rsidRPr="00020D19">
        <w:rPr>
          <w:bCs/>
          <w:iCs/>
        </w:rPr>
        <w:t xml:space="preserve">; </w:t>
      </w:r>
      <w:r w:rsidR="005A368D" w:rsidRPr="005A368D">
        <w:rPr>
          <w:bCs/>
          <w:iCs/>
        </w:rPr>
        <w:t>Rel-19 CR TS 28.533 addition of architecture r</w:t>
      </w:r>
      <w:r w:rsidR="005A368D" w:rsidRPr="005A368D">
        <w:rPr>
          <w:rFonts w:hint="eastAsia"/>
          <w:bCs/>
          <w:iCs/>
        </w:rPr>
        <w:t xml:space="preserve">eference </w:t>
      </w:r>
      <w:r w:rsidR="005A368D" w:rsidRPr="005A368D">
        <w:rPr>
          <w:bCs/>
          <w:iCs/>
        </w:rPr>
        <w:t>model for</w:t>
      </w:r>
      <w:r w:rsidR="005A368D" w:rsidRPr="005A368D">
        <w:rPr>
          <w:bCs/>
          <w:iCs/>
          <w:lang w:val="en-US"/>
        </w:rPr>
        <w:t xml:space="preserve"> </w:t>
      </w:r>
      <w:r w:rsidR="005A368D" w:rsidRPr="005A368D">
        <w:rPr>
          <w:rFonts w:hint="eastAsia"/>
          <w:bCs/>
          <w:iCs/>
        </w:rPr>
        <w:t>m</w:t>
      </w:r>
      <w:r w:rsidR="005A368D" w:rsidRPr="005A368D">
        <w:rPr>
          <w:bCs/>
          <w:iCs/>
        </w:rPr>
        <w:t xml:space="preserve">anagement and orchestration in support of SBMA </w:t>
      </w:r>
      <w:r w:rsidR="00020D19" w:rsidRPr="00020D19">
        <w:rPr>
          <w:bCs/>
          <w:iCs/>
        </w:rPr>
        <w:t xml:space="preserve"> </w:t>
      </w:r>
      <w:r w:rsidR="00020D19" w:rsidRPr="00020D19">
        <w:t xml:space="preserve"> </w:t>
      </w:r>
    </w:p>
    <w:p w14:paraId="7F91177E" w14:textId="45B2D47B" w:rsidR="00283B65" w:rsidRPr="000C63A7" w:rsidRDefault="00283B65">
      <w:pPr>
        <w:pStyle w:val="Reference"/>
      </w:pPr>
      <w:r>
        <w:t>[</w:t>
      </w:r>
      <w:r w:rsidR="00064A58">
        <w:t>5</w:t>
      </w:r>
      <w:r>
        <w:t>]</w:t>
      </w:r>
      <w:r>
        <w:tab/>
      </w:r>
      <w:r w:rsidR="00020D19" w:rsidRPr="00020D19">
        <w:rPr>
          <w:bCs/>
          <w:iCs/>
        </w:rPr>
        <w:t>S5-25</w:t>
      </w:r>
      <w:r w:rsidR="00456EBF">
        <w:rPr>
          <w:bCs/>
          <w:iCs/>
        </w:rPr>
        <w:t>3323</w:t>
      </w:r>
      <w:r w:rsidR="00020D19" w:rsidRPr="00020D19">
        <w:rPr>
          <w:bCs/>
          <w:iCs/>
        </w:rPr>
        <w:t xml:space="preserve">; Rel-19 CR TS 28.533: addition of summary descriptions for management functions in support of reference architecture </w:t>
      </w:r>
    </w:p>
    <w:p w14:paraId="1DE85D9E" w14:textId="77777777" w:rsidR="00C022E3" w:rsidRPr="004850D9" w:rsidRDefault="00C022E3">
      <w:pPr>
        <w:pStyle w:val="Heading1"/>
        <w:rPr>
          <w:b/>
          <w:bCs/>
        </w:rPr>
      </w:pPr>
      <w:bookmarkStart w:id="2" w:name="_Hlk202965513"/>
      <w:r w:rsidRPr="004850D9">
        <w:rPr>
          <w:b/>
          <w:bCs/>
        </w:rPr>
        <w:t>3</w:t>
      </w:r>
      <w:r w:rsidRPr="004850D9">
        <w:rPr>
          <w:b/>
          <w:bCs/>
        </w:rPr>
        <w:tab/>
        <w:t>Rationale</w:t>
      </w:r>
    </w:p>
    <w:bookmarkEnd w:id="2"/>
    <w:p w14:paraId="11530867" w14:textId="7262E763" w:rsidR="004850D9" w:rsidRPr="004850D9" w:rsidRDefault="004850D9" w:rsidP="004850D9">
      <w:pPr>
        <w:pStyle w:val="Heading2"/>
        <w:rPr>
          <w:b/>
          <w:bCs/>
          <w:lang w:eastAsia="en-GB"/>
        </w:rPr>
      </w:pPr>
      <w:r w:rsidRPr="004850D9">
        <w:rPr>
          <w:b/>
          <w:bCs/>
          <w:lang w:eastAsia="en-GB"/>
        </w:rPr>
        <w:t>3.1</w:t>
      </w:r>
      <w:r>
        <w:rPr>
          <w:b/>
          <w:bCs/>
          <w:lang w:eastAsia="en-GB"/>
        </w:rPr>
        <w:tab/>
      </w:r>
      <w:r w:rsidRPr="004850D9">
        <w:rPr>
          <w:b/>
          <w:bCs/>
          <w:lang w:eastAsia="en-GB"/>
        </w:rPr>
        <w:t>Background and context</w:t>
      </w:r>
    </w:p>
    <w:p w14:paraId="7DC96BCE" w14:textId="263F9436" w:rsidR="001E3A94" w:rsidRDefault="004850D9" w:rsidP="004850D9">
      <w:p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During SA5#161 in Fukuoka, the group discussed contribution S5-253025 [1] and the associated </w:t>
      </w:r>
      <w:r w:rsidR="00B37E41">
        <w:rPr>
          <w:rFonts w:eastAsia="Times New Roman"/>
          <w:sz w:val="22"/>
          <w:szCs w:val="22"/>
          <w:lang w:eastAsia="en-GB"/>
        </w:rPr>
        <w:t xml:space="preserve">provisional </w:t>
      </w:r>
      <w:r w:rsidRPr="004850D9">
        <w:rPr>
          <w:rFonts w:eastAsia="Times New Roman"/>
          <w:sz w:val="22"/>
          <w:szCs w:val="22"/>
          <w:lang w:eastAsia="en-GB"/>
        </w:rPr>
        <w:t xml:space="preserve">Change Request S5-252639 [2], which proposed introducing a management and orchestration architecture </w:t>
      </w:r>
      <w:r w:rsidR="00B37E41">
        <w:rPr>
          <w:rFonts w:eastAsia="Times New Roman"/>
          <w:sz w:val="22"/>
          <w:szCs w:val="22"/>
          <w:lang w:eastAsia="en-GB"/>
        </w:rPr>
        <w:t xml:space="preserve">reference model </w:t>
      </w:r>
      <w:r w:rsidRPr="004850D9">
        <w:rPr>
          <w:rFonts w:eastAsia="Times New Roman"/>
          <w:sz w:val="22"/>
          <w:szCs w:val="22"/>
          <w:lang w:eastAsia="en-GB"/>
        </w:rPr>
        <w:t>to complement the existing Service-Based Management Architecture (SBMA) specified in TS 28.533</w:t>
      </w:r>
      <w:r w:rsidR="00BA5192" w:rsidRPr="00275B74">
        <w:rPr>
          <w:rFonts w:eastAsia="Times New Roman"/>
          <w:sz w:val="22"/>
          <w:szCs w:val="22"/>
          <w:lang w:eastAsia="en-GB"/>
        </w:rPr>
        <w:t xml:space="preserve"> [3]</w:t>
      </w:r>
      <w:r w:rsidRPr="004850D9">
        <w:rPr>
          <w:rFonts w:eastAsia="Times New Roman"/>
          <w:sz w:val="22"/>
          <w:szCs w:val="22"/>
          <w:lang w:eastAsia="en-GB"/>
        </w:rPr>
        <w:t xml:space="preserve">. </w:t>
      </w:r>
    </w:p>
    <w:p w14:paraId="39760F3E" w14:textId="0239C865" w:rsidR="004850D9" w:rsidRPr="004850D9" w:rsidRDefault="004850D9" w:rsidP="004850D9">
      <w:pPr>
        <w:spacing w:before="100" w:beforeAutospacing="1" w:after="100" w:afterAutospacing="1"/>
        <w:rPr>
          <w:rFonts w:eastAsia="Times New Roman"/>
          <w:sz w:val="22"/>
          <w:szCs w:val="22"/>
          <w:lang w:eastAsia="en-GB"/>
        </w:rPr>
      </w:pPr>
      <w:r w:rsidRPr="004850D9">
        <w:rPr>
          <w:rFonts w:eastAsia="Times New Roman"/>
          <w:sz w:val="22"/>
          <w:szCs w:val="22"/>
          <w:lang w:eastAsia="en-GB"/>
        </w:rPr>
        <w:t>The discussion confirmed strong support for this direction, while emphasizing the need for a clear, streamlined structure to maintain alignment and minimize complexity.</w:t>
      </w:r>
    </w:p>
    <w:p w14:paraId="1D2F5DF3" w14:textId="70259695" w:rsidR="004F73A8" w:rsidRDefault="004F73A8" w:rsidP="004850D9">
      <w:pPr>
        <w:spacing w:before="100" w:beforeAutospacing="1" w:after="100" w:afterAutospacing="1"/>
        <w:rPr>
          <w:rFonts w:eastAsia="Times New Roman"/>
          <w:sz w:val="22"/>
          <w:szCs w:val="22"/>
          <w:lang w:eastAsia="en-GB"/>
        </w:rPr>
      </w:pPr>
      <w:r w:rsidRPr="004F73A8">
        <w:rPr>
          <w:rFonts w:eastAsia="Times New Roman"/>
          <w:sz w:val="22"/>
          <w:szCs w:val="22"/>
          <w:lang w:eastAsia="en-GB"/>
        </w:rPr>
        <w:t xml:space="preserve">The core motivation for this discussion paper remains unchanged, as it seeks to address the identified architectural gap by having the group discuss and agree on </w:t>
      </w:r>
      <w:r w:rsidR="005466E9">
        <w:rPr>
          <w:rFonts w:eastAsia="Times New Roman"/>
          <w:sz w:val="22"/>
          <w:szCs w:val="22"/>
          <w:lang w:eastAsia="en-GB"/>
        </w:rPr>
        <w:t>considering/</w:t>
      </w:r>
      <w:r w:rsidRPr="004F73A8">
        <w:rPr>
          <w:rFonts w:eastAsia="Times New Roman"/>
          <w:sz w:val="22"/>
          <w:szCs w:val="22"/>
          <w:lang w:eastAsia="en-GB"/>
        </w:rPr>
        <w:t>adding a complementary architecture</w:t>
      </w:r>
      <w:r w:rsidR="00B37E41">
        <w:rPr>
          <w:rFonts w:eastAsia="Times New Roman"/>
          <w:sz w:val="22"/>
          <w:szCs w:val="22"/>
          <w:lang w:eastAsia="en-GB"/>
        </w:rPr>
        <w:t xml:space="preserve"> reference model</w:t>
      </w:r>
      <w:r w:rsidRPr="004F73A8">
        <w:rPr>
          <w:rFonts w:eastAsia="Times New Roman"/>
          <w:sz w:val="22"/>
          <w:szCs w:val="22"/>
          <w:lang w:eastAsia="en-GB"/>
        </w:rPr>
        <w:t xml:space="preserve"> to strengthen SBMA’s modular and flexible approach.</w:t>
      </w:r>
      <w:r>
        <w:rPr>
          <w:rFonts w:eastAsia="Times New Roman"/>
          <w:sz w:val="22"/>
          <w:szCs w:val="22"/>
          <w:lang w:eastAsia="en-GB"/>
        </w:rPr>
        <w:t xml:space="preserve"> </w:t>
      </w:r>
    </w:p>
    <w:p w14:paraId="788B7258" w14:textId="1019BD89" w:rsidR="001E3A94" w:rsidRDefault="004850D9" w:rsidP="004850D9">
      <w:pPr>
        <w:spacing w:before="100" w:beforeAutospacing="1" w:after="100" w:afterAutospacing="1"/>
        <w:rPr>
          <w:rFonts w:eastAsia="Times New Roman"/>
          <w:sz w:val="22"/>
          <w:szCs w:val="22"/>
          <w:lang w:eastAsia="en-GB"/>
        </w:rPr>
      </w:pPr>
      <w:r w:rsidRPr="004850D9">
        <w:rPr>
          <w:rFonts w:eastAsia="Times New Roman"/>
          <w:sz w:val="22"/>
          <w:szCs w:val="22"/>
          <w:lang w:eastAsia="en-GB"/>
        </w:rPr>
        <w:t>Since its adoption in Rel-15, SBMA has enabled SA5 to smoothly and efficiently keep pace with the rapid evolution of 5G by moving away from inflexible, monolithic legacy element managers</w:t>
      </w:r>
      <w:r w:rsidR="005466E9">
        <w:rPr>
          <w:rFonts w:eastAsia="Times New Roman"/>
          <w:sz w:val="22"/>
          <w:szCs w:val="22"/>
          <w:lang w:eastAsia="en-GB"/>
        </w:rPr>
        <w:t xml:space="preserve"> </w:t>
      </w:r>
      <w:r w:rsidR="005466E9" w:rsidRPr="005466E9">
        <w:rPr>
          <w:rFonts w:eastAsia="Times New Roman"/>
          <w:sz w:val="22"/>
          <w:szCs w:val="22"/>
          <w:lang w:eastAsia="en-GB"/>
        </w:rPr>
        <w:t>for the management of the 5GS</w:t>
      </w:r>
      <w:r w:rsidRPr="004850D9">
        <w:rPr>
          <w:rFonts w:eastAsia="Times New Roman"/>
          <w:sz w:val="22"/>
          <w:szCs w:val="22"/>
          <w:lang w:eastAsia="en-GB"/>
        </w:rPr>
        <w:t>. Instead, SBMA specifies management and orchestration capabilities in a modular, flexible way, decoupling Management Services (</w:t>
      </w:r>
      <w:proofErr w:type="spellStart"/>
      <w:r w:rsidRPr="004850D9">
        <w:rPr>
          <w:rFonts w:eastAsia="Times New Roman"/>
          <w:sz w:val="22"/>
          <w:szCs w:val="22"/>
          <w:lang w:eastAsia="en-GB"/>
        </w:rPr>
        <w:t>MnSs</w:t>
      </w:r>
      <w:proofErr w:type="spellEnd"/>
      <w:r w:rsidRPr="004850D9">
        <w:rPr>
          <w:rFonts w:eastAsia="Times New Roman"/>
          <w:sz w:val="22"/>
          <w:szCs w:val="22"/>
          <w:lang w:eastAsia="en-GB"/>
        </w:rPr>
        <w:t xml:space="preserve">) from </w:t>
      </w:r>
      <w:r w:rsidR="005466E9">
        <w:rPr>
          <w:rFonts w:eastAsia="Times New Roman"/>
          <w:sz w:val="22"/>
          <w:szCs w:val="22"/>
          <w:lang w:eastAsia="en-GB"/>
        </w:rPr>
        <w:t>strictly</w:t>
      </w:r>
      <w:r w:rsidR="005466E9" w:rsidRPr="004850D9">
        <w:rPr>
          <w:rFonts w:eastAsia="Times New Roman"/>
          <w:sz w:val="22"/>
          <w:szCs w:val="22"/>
          <w:lang w:eastAsia="en-GB"/>
        </w:rPr>
        <w:t xml:space="preserve"> </w:t>
      </w:r>
      <w:r w:rsidRPr="004850D9">
        <w:rPr>
          <w:rFonts w:eastAsia="Times New Roman"/>
          <w:sz w:val="22"/>
          <w:szCs w:val="22"/>
          <w:lang w:eastAsia="en-GB"/>
        </w:rPr>
        <w:t>predefined Management Functions (</w:t>
      </w:r>
      <w:proofErr w:type="spellStart"/>
      <w:r w:rsidRPr="004850D9">
        <w:rPr>
          <w:rFonts w:eastAsia="Times New Roman"/>
          <w:sz w:val="22"/>
          <w:szCs w:val="22"/>
          <w:lang w:eastAsia="en-GB"/>
        </w:rPr>
        <w:t>MnFs</w:t>
      </w:r>
      <w:proofErr w:type="spellEnd"/>
      <w:r w:rsidRPr="004850D9">
        <w:rPr>
          <w:rFonts w:eastAsia="Times New Roman"/>
          <w:sz w:val="22"/>
          <w:szCs w:val="22"/>
          <w:lang w:eastAsia="en-GB"/>
        </w:rPr>
        <w:t xml:space="preserve">). </w:t>
      </w:r>
      <w:r w:rsidR="001E3A94" w:rsidRPr="001E3A94">
        <w:rPr>
          <w:rFonts w:eastAsia="Times New Roman"/>
          <w:sz w:val="22"/>
          <w:szCs w:val="22"/>
          <w:lang w:eastAsia="en-GB"/>
        </w:rPr>
        <w:t xml:space="preserve">This approach aligns SA5’s work with the 5G Core Service-Based Architecture (SBA) and its expected evolution towards </w:t>
      </w:r>
      <w:r w:rsidR="00572CF8" w:rsidRPr="001E3A94">
        <w:rPr>
          <w:rFonts w:eastAsia="Times New Roman"/>
          <w:sz w:val="22"/>
          <w:szCs w:val="22"/>
          <w:lang w:eastAsia="en-GB"/>
        </w:rPr>
        <w:t>6G and</w:t>
      </w:r>
      <w:r w:rsidR="001E3A94" w:rsidRPr="001E3A94">
        <w:rPr>
          <w:rFonts w:eastAsia="Times New Roman"/>
          <w:sz w:val="22"/>
          <w:szCs w:val="22"/>
          <w:lang w:eastAsia="en-GB"/>
        </w:rPr>
        <w:t xml:space="preserve"> </w:t>
      </w:r>
      <w:r w:rsidR="00D9653C">
        <w:rPr>
          <w:rFonts w:eastAsia="Times New Roman"/>
          <w:sz w:val="22"/>
          <w:szCs w:val="22"/>
          <w:lang w:eastAsia="en-GB"/>
        </w:rPr>
        <w:t xml:space="preserve">has been used to </w:t>
      </w:r>
      <w:r w:rsidR="005466E9">
        <w:rPr>
          <w:rFonts w:eastAsia="Times New Roman"/>
          <w:sz w:val="22"/>
          <w:szCs w:val="22"/>
          <w:lang w:eastAsia="en-GB"/>
        </w:rPr>
        <w:t>support</w:t>
      </w:r>
      <w:r w:rsidR="001E3A94" w:rsidRPr="001E3A94">
        <w:rPr>
          <w:rFonts w:eastAsia="Times New Roman"/>
          <w:sz w:val="22"/>
          <w:szCs w:val="22"/>
          <w:lang w:eastAsia="en-GB"/>
        </w:rPr>
        <w:t xml:space="preserve"> integration with broader industry initiatives such as ETSI NFV, ETSI</w:t>
      </w:r>
      <w:r w:rsidR="00A857AA">
        <w:rPr>
          <w:rFonts w:eastAsia="Times New Roman"/>
          <w:sz w:val="22"/>
          <w:szCs w:val="22"/>
          <w:lang w:eastAsia="en-GB"/>
        </w:rPr>
        <w:t xml:space="preserve"> ISG</w:t>
      </w:r>
      <w:r w:rsidR="001E3A94" w:rsidRPr="001E3A94">
        <w:rPr>
          <w:rFonts w:eastAsia="Times New Roman"/>
          <w:sz w:val="22"/>
          <w:szCs w:val="22"/>
          <w:lang w:eastAsia="en-GB"/>
        </w:rPr>
        <w:t xml:space="preserve"> ZSM, O-RAN, and relevant open-source frameworks</w:t>
      </w:r>
      <w:r w:rsidR="001E3A94">
        <w:rPr>
          <w:rFonts w:eastAsia="Times New Roman"/>
          <w:sz w:val="22"/>
          <w:szCs w:val="22"/>
          <w:lang w:eastAsia="en-GB"/>
        </w:rPr>
        <w:t>.</w:t>
      </w:r>
    </w:p>
    <w:p w14:paraId="3184588E" w14:textId="7EECB511" w:rsidR="004850D9" w:rsidRPr="004850D9" w:rsidRDefault="004850D9" w:rsidP="004850D9">
      <w:p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As 5G evolves towards 5G Advanced and future 6G generations, </w:t>
      </w:r>
      <w:r w:rsidR="005466E9">
        <w:rPr>
          <w:rFonts w:eastAsia="Times New Roman"/>
          <w:sz w:val="22"/>
          <w:szCs w:val="22"/>
          <w:lang w:eastAsia="en-GB"/>
        </w:rPr>
        <w:t>a</w:t>
      </w:r>
      <w:r w:rsidRPr="004850D9">
        <w:rPr>
          <w:rFonts w:eastAsia="Times New Roman"/>
          <w:sz w:val="22"/>
          <w:szCs w:val="22"/>
          <w:lang w:eastAsia="en-GB"/>
        </w:rPr>
        <w:t xml:space="preserve"> modular foundational architecture remains vital for addressing growing complexity and enriched features in 3GPP mobile networks, including enhanced intelligence, AI/ML-driven capabilities, and fully or near-fully autonomous systems.</w:t>
      </w:r>
    </w:p>
    <w:p w14:paraId="3D460E56" w14:textId="436B5D44" w:rsidR="004850D9" w:rsidRPr="004850D9" w:rsidRDefault="004850D9" w:rsidP="004850D9">
      <w:pPr>
        <w:pStyle w:val="Heading2"/>
        <w:rPr>
          <w:b/>
          <w:bCs/>
          <w:lang w:eastAsia="en-GB"/>
        </w:rPr>
      </w:pPr>
      <w:r w:rsidRPr="004850D9">
        <w:rPr>
          <w:b/>
          <w:bCs/>
          <w:lang w:eastAsia="en-GB"/>
        </w:rPr>
        <w:lastRenderedPageBreak/>
        <w:t>3.2</w:t>
      </w:r>
      <w:r>
        <w:rPr>
          <w:b/>
          <w:bCs/>
          <w:lang w:eastAsia="en-GB"/>
        </w:rPr>
        <w:tab/>
      </w:r>
      <w:r w:rsidRPr="004850D9">
        <w:rPr>
          <w:b/>
          <w:bCs/>
          <w:lang w:eastAsia="en-GB"/>
        </w:rPr>
        <w:t>Architectural challenges and need for a reference architecture</w:t>
      </w:r>
    </w:p>
    <w:p w14:paraId="43A0DAE9" w14:textId="341567C6" w:rsidR="004850D9" w:rsidRPr="004850D9" w:rsidRDefault="008D4BDB" w:rsidP="004850D9">
      <w:pPr>
        <w:spacing w:before="100" w:beforeAutospacing="1" w:after="100" w:afterAutospacing="1"/>
        <w:rPr>
          <w:rFonts w:eastAsia="Times New Roman"/>
          <w:sz w:val="22"/>
          <w:szCs w:val="22"/>
          <w:lang w:eastAsia="en-GB"/>
        </w:rPr>
      </w:pPr>
      <w:r>
        <w:rPr>
          <w:rFonts w:eastAsia="Times New Roman"/>
          <w:sz w:val="22"/>
          <w:szCs w:val="22"/>
          <w:lang w:eastAsia="en-GB"/>
        </w:rPr>
        <w:t>Although</w:t>
      </w:r>
      <w:r w:rsidR="004850D9" w:rsidRPr="004850D9">
        <w:rPr>
          <w:rFonts w:eastAsia="Times New Roman"/>
          <w:sz w:val="22"/>
          <w:szCs w:val="22"/>
          <w:lang w:eastAsia="en-GB"/>
        </w:rPr>
        <w:t xml:space="preserve"> the modularity of SBMA </w:t>
      </w:r>
      <w:r>
        <w:rPr>
          <w:rFonts w:eastAsia="Times New Roman"/>
          <w:sz w:val="22"/>
          <w:szCs w:val="22"/>
          <w:lang w:eastAsia="en-GB"/>
        </w:rPr>
        <w:t>can be considered as an advantage</w:t>
      </w:r>
      <w:r w:rsidR="004850D9" w:rsidRPr="004850D9">
        <w:rPr>
          <w:rFonts w:eastAsia="Times New Roman"/>
          <w:sz w:val="22"/>
          <w:szCs w:val="22"/>
          <w:lang w:eastAsia="en-GB"/>
        </w:rPr>
        <w:t xml:space="preserve">, </w:t>
      </w:r>
      <w:r>
        <w:rPr>
          <w:rFonts w:eastAsia="Times New Roman"/>
          <w:sz w:val="22"/>
          <w:szCs w:val="22"/>
          <w:lang w:eastAsia="en-GB"/>
        </w:rPr>
        <w:t xml:space="preserve">it has also contributed to a situation where, </w:t>
      </w:r>
      <w:r w:rsidR="004850D9" w:rsidRPr="004850D9">
        <w:rPr>
          <w:rFonts w:eastAsia="Times New Roman"/>
          <w:sz w:val="22"/>
          <w:szCs w:val="22"/>
          <w:lang w:eastAsia="en-GB"/>
        </w:rPr>
        <w:t>over successive releases, the logical roles and identities of Management Functions (</w:t>
      </w:r>
      <w:proofErr w:type="spellStart"/>
      <w:r w:rsidR="004850D9" w:rsidRPr="004850D9">
        <w:rPr>
          <w:rFonts w:eastAsia="Times New Roman"/>
          <w:sz w:val="22"/>
          <w:szCs w:val="22"/>
          <w:lang w:eastAsia="en-GB"/>
        </w:rPr>
        <w:t>MnFs</w:t>
      </w:r>
      <w:proofErr w:type="spellEnd"/>
      <w:r w:rsidR="004850D9" w:rsidRPr="004850D9">
        <w:rPr>
          <w:rFonts w:eastAsia="Times New Roman"/>
          <w:sz w:val="22"/>
          <w:szCs w:val="22"/>
          <w:lang w:eastAsia="en-GB"/>
        </w:rPr>
        <w:t xml:space="preserve">) producing and consuming </w:t>
      </w:r>
      <w:proofErr w:type="spellStart"/>
      <w:r w:rsidR="004850D9" w:rsidRPr="004850D9">
        <w:rPr>
          <w:rFonts w:eastAsia="Times New Roman"/>
          <w:sz w:val="22"/>
          <w:szCs w:val="22"/>
          <w:lang w:eastAsia="en-GB"/>
        </w:rPr>
        <w:t>MnSs</w:t>
      </w:r>
      <w:proofErr w:type="spellEnd"/>
      <w:r w:rsidR="004850D9" w:rsidRPr="004850D9">
        <w:rPr>
          <w:rFonts w:eastAsia="Times New Roman"/>
          <w:sz w:val="22"/>
          <w:szCs w:val="22"/>
          <w:lang w:eastAsia="en-GB"/>
        </w:rPr>
        <w:t xml:space="preserve"> have become less explicit or undefined. </w:t>
      </w:r>
      <w:r w:rsidR="00483BCB">
        <w:rPr>
          <w:rFonts w:eastAsia="Times New Roman"/>
          <w:sz w:val="22"/>
          <w:szCs w:val="22"/>
          <w:lang w:eastAsia="en-GB"/>
        </w:rPr>
        <w:t>More specifically,</w:t>
      </w:r>
      <w:r w:rsidR="005E41E1">
        <w:rPr>
          <w:rFonts w:eastAsia="Times New Roman"/>
          <w:sz w:val="22"/>
          <w:szCs w:val="22"/>
          <w:lang w:eastAsia="en-GB"/>
        </w:rPr>
        <w:t xml:space="preserve"> </w:t>
      </w:r>
      <w:r w:rsidR="003207E0" w:rsidRPr="003207E0">
        <w:rPr>
          <w:rFonts w:eastAsia="Times New Roman"/>
          <w:sz w:val="22"/>
          <w:szCs w:val="22"/>
          <w:lang w:eastAsia="en-GB"/>
        </w:rPr>
        <w:t xml:space="preserve">the SBMA model does not clearly define how </w:t>
      </w:r>
      <w:proofErr w:type="spellStart"/>
      <w:r w:rsidR="003207E0" w:rsidRPr="003207E0">
        <w:rPr>
          <w:rFonts w:eastAsia="Times New Roman"/>
          <w:sz w:val="22"/>
          <w:szCs w:val="22"/>
          <w:lang w:eastAsia="en-GB"/>
        </w:rPr>
        <w:t>MnFs</w:t>
      </w:r>
      <w:proofErr w:type="spellEnd"/>
      <w:r w:rsidR="003207E0" w:rsidRPr="003207E0">
        <w:rPr>
          <w:rFonts w:eastAsia="Times New Roman"/>
          <w:sz w:val="22"/>
          <w:szCs w:val="22"/>
          <w:lang w:eastAsia="en-GB"/>
        </w:rPr>
        <w:t xml:space="preserve"> map to the management of 3GPP-defined network functions and their associated OA&amp;M </w:t>
      </w:r>
      <w:r w:rsidR="001D0F00">
        <w:rPr>
          <w:rFonts w:eastAsia="Times New Roman"/>
          <w:sz w:val="22"/>
          <w:szCs w:val="22"/>
          <w:lang w:eastAsia="en-GB"/>
        </w:rPr>
        <w:t>services</w:t>
      </w:r>
      <w:r w:rsidR="005E41E1">
        <w:rPr>
          <w:rFonts w:eastAsia="Times New Roman"/>
          <w:sz w:val="22"/>
          <w:szCs w:val="22"/>
          <w:lang w:eastAsia="en-GB"/>
        </w:rPr>
        <w:t xml:space="preserve">. </w:t>
      </w:r>
      <w:r w:rsidR="004850D9" w:rsidRPr="004850D9">
        <w:rPr>
          <w:rFonts w:eastAsia="Times New Roman"/>
          <w:sz w:val="22"/>
          <w:szCs w:val="22"/>
          <w:lang w:eastAsia="en-GB"/>
        </w:rPr>
        <w:t>This lack of architectural traceability has led to:</w:t>
      </w:r>
    </w:p>
    <w:p w14:paraId="311BDF1C" w14:textId="0EB681F6" w:rsidR="00AA4F1D" w:rsidRDefault="00F078F7" w:rsidP="00D512DA">
      <w:pPr>
        <w:numPr>
          <w:ilvl w:val="0"/>
          <w:numId w:val="4"/>
        </w:numPr>
        <w:spacing w:before="100" w:beforeAutospacing="1" w:after="100" w:afterAutospacing="1"/>
        <w:rPr>
          <w:rFonts w:eastAsia="Times New Roman"/>
          <w:sz w:val="22"/>
          <w:szCs w:val="22"/>
          <w:lang w:eastAsia="en-GB"/>
        </w:rPr>
      </w:pPr>
      <w:r>
        <w:rPr>
          <w:rFonts w:eastAsia="Times New Roman"/>
          <w:sz w:val="22"/>
          <w:szCs w:val="22"/>
          <w:lang w:eastAsia="en-GB"/>
        </w:rPr>
        <w:t xml:space="preserve">Lack of clear </w:t>
      </w:r>
      <w:r w:rsidR="005E4D19">
        <w:rPr>
          <w:rFonts w:eastAsia="Times New Roman"/>
          <w:sz w:val="22"/>
          <w:szCs w:val="22"/>
          <w:lang w:eastAsia="en-GB"/>
        </w:rPr>
        <w:t>mapping</w:t>
      </w:r>
      <w:r w:rsidR="00AA4F1D">
        <w:rPr>
          <w:rFonts w:eastAsia="Times New Roman"/>
          <w:sz w:val="22"/>
          <w:szCs w:val="22"/>
          <w:lang w:eastAsia="en-GB"/>
        </w:rPr>
        <w:t xml:space="preserve"> between 3GPP defined </w:t>
      </w:r>
      <w:proofErr w:type="spellStart"/>
      <w:r w:rsidR="00AA4F1D">
        <w:rPr>
          <w:rFonts w:eastAsia="Times New Roman"/>
          <w:sz w:val="22"/>
          <w:szCs w:val="22"/>
          <w:lang w:eastAsia="en-GB"/>
        </w:rPr>
        <w:t>MnFs</w:t>
      </w:r>
      <w:proofErr w:type="spellEnd"/>
      <w:r w:rsidR="00AA4F1D">
        <w:rPr>
          <w:rFonts w:eastAsia="Times New Roman"/>
          <w:sz w:val="22"/>
          <w:szCs w:val="22"/>
          <w:lang w:eastAsia="en-GB"/>
        </w:rPr>
        <w:t xml:space="preserve"> and </w:t>
      </w:r>
      <w:r w:rsidR="005E4D19">
        <w:rPr>
          <w:rFonts w:eastAsia="Times New Roman"/>
          <w:sz w:val="22"/>
          <w:szCs w:val="22"/>
          <w:lang w:eastAsia="en-GB"/>
        </w:rPr>
        <w:t>the</w:t>
      </w:r>
      <w:r w:rsidR="00AA4F1D">
        <w:rPr>
          <w:rFonts w:eastAsia="Times New Roman"/>
          <w:sz w:val="22"/>
          <w:szCs w:val="22"/>
          <w:lang w:eastAsia="en-GB"/>
        </w:rPr>
        <w:t xml:space="preserve"> </w:t>
      </w:r>
      <w:proofErr w:type="spellStart"/>
      <w:r w:rsidR="00AA4F1D">
        <w:rPr>
          <w:rFonts w:eastAsia="Times New Roman"/>
          <w:sz w:val="22"/>
          <w:szCs w:val="22"/>
          <w:lang w:eastAsia="en-GB"/>
        </w:rPr>
        <w:t>MnSs</w:t>
      </w:r>
      <w:proofErr w:type="spellEnd"/>
      <w:r w:rsidR="000F53DE">
        <w:rPr>
          <w:rFonts w:eastAsia="Times New Roman"/>
          <w:sz w:val="22"/>
          <w:szCs w:val="22"/>
          <w:lang w:eastAsia="en-GB"/>
        </w:rPr>
        <w:t xml:space="preserve"> they are expected</w:t>
      </w:r>
      <w:r w:rsidR="00E36913">
        <w:rPr>
          <w:rFonts w:eastAsia="Times New Roman"/>
          <w:sz w:val="22"/>
          <w:szCs w:val="22"/>
          <w:lang w:eastAsia="en-GB"/>
        </w:rPr>
        <w:t xml:space="preserve"> to produce or consume</w:t>
      </w:r>
      <w:r w:rsidR="00626A36">
        <w:rPr>
          <w:rFonts w:eastAsia="Times New Roman"/>
          <w:sz w:val="22"/>
          <w:szCs w:val="22"/>
          <w:lang w:eastAsia="en-GB"/>
        </w:rPr>
        <w:t>.</w:t>
      </w:r>
    </w:p>
    <w:p w14:paraId="0CFB00C1" w14:textId="3EF75244" w:rsidR="004850D9" w:rsidRPr="004850D9" w:rsidRDefault="004850D9" w:rsidP="00D512DA">
      <w:pPr>
        <w:numPr>
          <w:ilvl w:val="0"/>
          <w:numId w:val="4"/>
        </w:num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Ambiguity around how </w:t>
      </w:r>
      <w:proofErr w:type="spellStart"/>
      <w:r w:rsidRPr="004850D9">
        <w:rPr>
          <w:rFonts w:eastAsia="Times New Roman"/>
          <w:sz w:val="22"/>
          <w:szCs w:val="22"/>
          <w:lang w:eastAsia="en-GB"/>
        </w:rPr>
        <w:t>MnSs</w:t>
      </w:r>
      <w:proofErr w:type="spellEnd"/>
      <w:r w:rsidRPr="004850D9">
        <w:rPr>
          <w:rFonts w:eastAsia="Times New Roman"/>
          <w:sz w:val="22"/>
          <w:szCs w:val="22"/>
          <w:lang w:eastAsia="en-GB"/>
        </w:rPr>
        <w:t xml:space="preserve"> are produced, consumed, and coordinated in practice.</w:t>
      </w:r>
    </w:p>
    <w:p w14:paraId="14589301" w14:textId="7EAFC9EC" w:rsidR="004850D9" w:rsidRPr="004850D9" w:rsidRDefault="004850D9" w:rsidP="00D512DA">
      <w:pPr>
        <w:numPr>
          <w:ilvl w:val="0"/>
          <w:numId w:val="4"/>
        </w:num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Fragmentation and overlap </w:t>
      </w:r>
      <w:r w:rsidR="00E74C2B">
        <w:rPr>
          <w:rFonts w:eastAsia="Times New Roman"/>
          <w:sz w:val="22"/>
          <w:szCs w:val="22"/>
          <w:lang w:eastAsia="en-GB"/>
        </w:rPr>
        <w:t>when</w:t>
      </w:r>
      <w:r w:rsidR="008D4BDB">
        <w:rPr>
          <w:rFonts w:eastAsia="Times New Roman"/>
          <w:sz w:val="22"/>
          <w:szCs w:val="22"/>
          <w:lang w:eastAsia="en-GB"/>
        </w:rPr>
        <w:t xml:space="preserve"> </w:t>
      </w:r>
      <w:r w:rsidRPr="004850D9">
        <w:rPr>
          <w:rFonts w:eastAsia="Times New Roman"/>
          <w:sz w:val="22"/>
          <w:szCs w:val="22"/>
          <w:lang w:eastAsia="en-GB"/>
        </w:rPr>
        <w:t xml:space="preserve">other Working Groups (WGs) define their own management-related </w:t>
      </w:r>
      <w:r w:rsidR="00572CF8" w:rsidRPr="004850D9">
        <w:rPr>
          <w:rFonts w:eastAsia="Times New Roman"/>
          <w:sz w:val="22"/>
          <w:szCs w:val="22"/>
          <w:lang w:eastAsia="en-GB"/>
        </w:rPr>
        <w:t xml:space="preserve">entities </w:t>
      </w:r>
      <w:r w:rsidR="00572CF8">
        <w:rPr>
          <w:rFonts w:eastAsia="Times New Roman"/>
          <w:sz w:val="22"/>
          <w:szCs w:val="22"/>
          <w:lang w:eastAsia="en-GB"/>
        </w:rPr>
        <w:t>on</w:t>
      </w:r>
      <w:r w:rsidR="008D4BDB">
        <w:rPr>
          <w:rFonts w:eastAsia="Times New Roman"/>
          <w:sz w:val="22"/>
          <w:szCs w:val="22"/>
          <w:lang w:eastAsia="en-GB"/>
        </w:rPr>
        <w:t xml:space="preserve"> </w:t>
      </w:r>
      <w:r w:rsidR="00E74C2B">
        <w:rPr>
          <w:rFonts w:eastAsia="Times New Roman"/>
          <w:sz w:val="22"/>
          <w:szCs w:val="22"/>
          <w:lang w:eastAsia="en-GB"/>
        </w:rPr>
        <w:t xml:space="preserve">functionalities where </w:t>
      </w:r>
      <w:r w:rsidR="008D4BDB">
        <w:rPr>
          <w:rFonts w:eastAsia="Times New Roman"/>
          <w:sz w:val="22"/>
          <w:szCs w:val="22"/>
          <w:lang w:eastAsia="en-GB"/>
        </w:rPr>
        <w:t>SA5 has already related activities</w:t>
      </w:r>
      <w:r w:rsidRPr="004850D9">
        <w:rPr>
          <w:rFonts w:eastAsia="Times New Roman"/>
          <w:sz w:val="22"/>
          <w:szCs w:val="22"/>
          <w:lang w:eastAsia="en-GB"/>
        </w:rPr>
        <w:t>.</w:t>
      </w:r>
    </w:p>
    <w:p w14:paraId="250C4B42" w14:textId="3FF064E7" w:rsidR="004850D9" w:rsidRPr="004850D9" w:rsidRDefault="004850D9" w:rsidP="00D512DA">
      <w:pPr>
        <w:numPr>
          <w:ilvl w:val="0"/>
          <w:numId w:val="4"/>
        </w:num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Increased risk of duplication and inconsistency, particularly as AI/ML, analytics, closed-loop automation, </w:t>
      </w:r>
      <w:r w:rsidR="00E74C2B">
        <w:rPr>
          <w:rFonts w:eastAsia="Times New Roman"/>
          <w:sz w:val="22"/>
          <w:szCs w:val="22"/>
          <w:lang w:eastAsia="en-GB"/>
        </w:rPr>
        <w:t xml:space="preserve">network digital twin </w:t>
      </w:r>
      <w:r w:rsidRPr="004850D9">
        <w:rPr>
          <w:rFonts w:eastAsia="Times New Roman"/>
          <w:sz w:val="22"/>
          <w:szCs w:val="22"/>
          <w:lang w:eastAsia="en-GB"/>
        </w:rPr>
        <w:t xml:space="preserve">and intent-driven management capabilities </w:t>
      </w:r>
      <w:r w:rsidR="00E74C2B">
        <w:rPr>
          <w:rFonts w:eastAsia="Times New Roman"/>
          <w:sz w:val="22"/>
          <w:szCs w:val="22"/>
          <w:lang w:eastAsia="en-GB"/>
        </w:rPr>
        <w:t xml:space="preserve">are </w:t>
      </w:r>
      <w:r w:rsidRPr="004850D9">
        <w:rPr>
          <w:rFonts w:eastAsia="Times New Roman"/>
          <w:sz w:val="22"/>
          <w:szCs w:val="22"/>
          <w:lang w:eastAsia="en-GB"/>
        </w:rPr>
        <w:t>expand</w:t>
      </w:r>
      <w:r w:rsidR="00E74C2B">
        <w:rPr>
          <w:rFonts w:eastAsia="Times New Roman"/>
          <w:sz w:val="22"/>
          <w:szCs w:val="22"/>
          <w:lang w:eastAsia="en-GB"/>
        </w:rPr>
        <w:t>ing</w:t>
      </w:r>
      <w:r w:rsidRPr="004850D9">
        <w:rPr>
          <w:rFonts w:eastAsia="Times New Roman"/>
          <w:sz w:val="22"/>
          <w:szCs w:val="22"/>
          <w:lang w:eastAsia="en-GB"/>
        </w:rPr>
        <w:t>.</w:t>
      </w:r>
    </w:p>
    <w:p w14:paraId="63AFD7CD" w14:textId="43E3B4EB" w:rsidR="004850D9" w:rsidRDefault="004850D9" w:rsidP="00D512DA">
      <w:pPr>
        <w:numPr>
          <w:ilvl w:val="0"/>
          <w:numId w:val="4"/>
        </w:num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Difficulties for </w:t>
      </w:r>
      <w:r w:rsidR="00A0359E">
        <w:rPr>
          <w:rFonts w:eastAsia="Times New Roman"/>
          <w:sz w:val="22"/>
          <w:szCs w:val="22"/>
          <w:lang w:eastAsia="en-GB"/>
        </w:rPr>
        <w:t xml:space="preserve">other </w:t>
      </w:r>
      <w:r w:rsidRPr="004850D9">
        <w:rPr>
          <w:rFonts w:eastAsia="Times New Roman"/>
          <w:sz w:val="22"/>
          <w:szCs w:val="22"/>
          <w:lang w:eastAsia="en-GB"/>
        </w:rPr>
        <w:t>WGs, external standards organizations, and implementers to interpret SA5 specifications consistently and align their work.</w:t>
      </w:r>
    </w:p>
    <w:p w14:paraId="60CAE61F" w14:textId="77777777" w:rsidR="00E74C2B" w:rsidRPr="00E74C2B" w:rsidRDefault="00E74C2B" w:rsidP="00E74C2B">
      <w:pPr>
        <w:pStyle w:val="ListParagraph"/>
        <w:numPr>
          <w:ilvl w:val="0"/>
          <w:numId w:val="4"/>
        </w:numPr>
        <w:rPr>
          <w:rFonts w:eastAsia="Times New Roman"/>
          <w:sz w:val="22"/>
          <w:szCs w:val="22"/>
          <w:lang w:eastAsia="en-GB"/>
        </w:rPr>
      </w:pPr>
      <w:r w:rsidRPr="00E74C2B">
        <w:rPr>
          <w:rFonts w:eastAsia="Times New Roman"/>
          <w:sz w:val="22"/>
          <w:szCs w:val="22"/>
          <w:lang w:eastAsia="en-GB"/>
        </w:rPr>
        <w:t xml:space="preserve">Ambiguity around communication between </w:t>
      </w:r>
      <w:proofErr w:type="spellStart"/>
      <w:r w:rsidRPr="00E74C2B">
        <w:rPr>
          <w:rFonts w:eastAsia="Times New Roman"/>
          <w:sz w:val="22"/>
          <w:szCs w:val="22"/>
          <w:lang w:eastAsia="en-GB"/>
        </w:rPr>
        <w:t>MnS</w:t>
      </w:r>
      <w:proofErr w:type="spellEnd"/>
      <w:r w:rsidRPr="00E74C2B">
        <w:rPr>
          <w:rFonts w:eastAsia="Times New Roman"/>
          <w:sz w:val="22"/>
          <w:szCs w:val="22"/>
          <w:lang w:eastAsia="en-GB"/>
        </w:rPr>
        <w:t xml:space="preserve"> Producers, including how they interact or coordinate with each other.</w:t>
      </w:r>
    </w:p>
    <w:p w14:paraId="6BF6AF7B" w14:textId="5F913B34" w:rsidR="004850D9" w:rsidRPr="004850D9" w:rsidRDefault="004850D9" w:rsidP="004850D9">
      <w:pPr>
        <w:spacing w:before="100" w:beforeAutospacing="1" w:after="100" w:afterAutospacing="1"/>
        <w:rPr>
          <w:rFonts w:eastAsia="Times New Roman"/>
          <w:sz w:val="22"/>
          <w:szCs w:val="22"/>
          <w:lang w:eastAsia="en-GB"/>
        </w:rPr>
      </w:pPr>
      <w:r w:rsidRPr="004850D9">
        <w:rPr>
          <w:rFonts w:eastAsia="Times New Roman"/>
          <w:sz w:val="22"/>
          <w:szCs w:val="22"/>
          <w:lang w:eastAsia="en-GB"/>
        </w:rPr>
        <w:t>Other 3GPP domains, such as 5GC and NG-RAN, maintain clear logical functional entities alongside service</w:t>
      </w:r>
      <w:r w:rsidR="000A7E96">
        <w:rPr>
          <w:rFonts w:eastAsia="Times New Roman"/>
          <w:sz w:val="22"/>
          <w:szCs w:val="22"/>
          <w:lang w:eastAsia="en-GB"/>
        </w:rPr>
        <w:t xml:space="preserve"> interfaces</w:t>
      </w:r>
      <w:r w:rsidRPr="004850D9">
        <w:rPr>
          <w:rFonts w:eastAsia="Times New Roman"/>
          <w:sz w:val="22"/>
          <w:szCs w:val="22"/>
          <w:lang w:eastAsia="en-GB"/>
        </w:rPr>
        <w:t xml:space="preserve">, providing architectural traceability while preserving implementation flexibility. Without a similar structure </w:t>
      </w:r>
      <w:r w:rsidR="000A7E96">
        <w:rPr>
          <w:rFonts w:eastAsia="Times New Roman"/>
          <w:sz w:val="22"/>
          <w:szCs w:val="22"/>
          <w:lang w:eastAsia="en-GB"/>
        </w:rPr>
        <w:t>where both</w:t>
      </w:r>
      <w:r w:rsidRPr="004850D9">
        <w:rPr>
          <w:rFonts w:eastAsia="Times New Roman"/>
          <w:sz w:val="22"/>
          <w:szCs w:val="22"/>
          <w:lang w:eastAsia="en-GB"/>
        </w:rPr>
        <w:t xml:space="preserve"> </w:t>
      </w:r>
      <w:proofErr w:type="spellStart"/>
      <w:r w:rsidRPr="004850D9">
        <w:rPr>
          <w:rFonts w:eastAsia="Times New Roman"/>
          <w:sz w:val="22"/>
          <w:szCs w:val="22"/>
          <w:lang w:eastAsia="en-GB"/>
        </w:rPr>
        <w:t>MnFs</w:t>
      </w:r>
      <w:proofErr w:type="spellEnd"/>
      <w:r w:rsidR="000A7E96">
        <w:rPr>
          <w:rFonts w:eastAsia="Times New Roman"/>
          <w:sz w:val="22"/>
          <w:szCs w:val="22"/>
          <w:lang w:eastAsia="en-GB"/>
        </w:rPr>
        <w:t xml:space="preserve"> and </w:t>
      </w:r>
      <w:proofErr w:type="spellStart"/>
      <w:r w:rsidR="000A7E96">
        <w:rPr>
          <w:rFonts w:eastAsia="Times New Roman"/>
          <w:sz w:val="22"/>
          <w:szCs w:val="22"/>
          <w:lang w:eastAsia="en-GB"/>
        </w:rPr>
        <w:t>MnSs</w:t>
      </w:r>
      <w:proofErr w:type="spellEnd"/>
      <w:r w:rsidR="000A7E96">
        <w:rPr>
          <w:rFonts w:eastAsia="Times New Roman"/>
          <w:sz w:val="22"/>
          <w:szCs w:val="22"/>
          <w:lang w:eastAsia="en-GB"/>
        </w:rPr>
        <w:t xml:space="preserve"> are considered</w:t>
      </w:r>
      <w:r w:rsidRPr="004850D9">
        <w:rPr>
          <w:rFonts w:eastAsia="Times New Roman"/>
          <w:sz w:val="22"/>
          <w:szCs w:val="22"/>
          <w:lang w:eastAsia="en-GB"/>
        </w:rPr>
        <w:t xml:space="preserve">, </w:t>
      </w:r>
      <w:r w:rsidR="000A7E96">
        <w:rPr>
          <w:rFonts w:eastAsia="Times New Roman"/>
          <w:sz w:val="22"/>
          <w:szCs w:val="22"/>
          <w:lang w:eastAsia="en-GB"/>
        </w:rPr>
        <w:t xml:space="preserve">relationships between </w:t>
      </w:r>
      <w:r w:rsidRPr="004850D9">
        <w:rPr>
          <w:rFonts w:eastAsia="Times New Roman"/>
          <w:sz w:val="22"/>
          <w:szCs w:val="22"/>
          <w:lang w:eastAsia="en-GB"/>
        </w:rPr>
        <w:t xml:space="preserve">SBMA </w:t>
      </w:r>
      <w:proofErr w:type="spellStart"/>
      <w:r w:rsidR="000A7E96">
        <w:rPr>
          <w:rFonts w:eastAsia="Times New Roman"/>
          <w:sz w:val="22"/>
          <w:szCs w:val="22"/>
          <w:lang w:eastAsia="en-GB"/>
        </w:rPr>
        <w:t>MnSs</w:t>
      </w:r>
      <w:proofErr w:type="spellEnd"/>
      <w:r w:rsidR="000A7E96">
        <w:rPr>
          <w:rFonts w:eastAsia="Times New Roman"/>
          <w:sz w:val="22"/>
          <w:szCs w:val="22"/>
          <w:lang w:eastAsia="en-GB"/>
        </w:rPr>
        <w:t xml:space="preserve"> are</w:t>
      </w:r>
      <w:r w:rsidRPr="004850D9">
        <w:rPr>
          <w:rFonts w:eastAsia="Times New Roman"/>
          <w:sz w:val="22"/>
          <w:szCs w:val="22"/>
          <w:lang w:eastAsia="en-GB"/>
        </w:rPr>
        <w:t xml:space="preserve"> becoming harder to interpret and extend coherently as the </w:t>
      </w:r>
      <w:r w:rsidR="000A7E96">
        <w:rPr>
          <w:rFonts w:eastAsia="Times New Roman"/>
          <w:sz w:val="22"/>
          <w:szCs w:val="22"/>
          <w:lang w:eastAsia="en-GB"/>
        </w:rPr>
        <w:t xml:space="preserve">management </w:t>
      </w:r>
      <w:r w:rsidRPr="004850D9">
        <w:rPr>
          <w:rFonts w:eastAsia="Times New Roman"/>
          <w:sz w:val="22"/>
          <w:szCs w:val="22"/>
          <w:lang w:eastAsia="en-GB"/>
        </w:rPr>
        <w:t xml:space="preserve">system grows </w:t>
      </w:r>
      <w:r w:rsidR="000A7E96">
        <w:rPr>
          <w:rFonts w:eastAsia="Times New Roman"/>
          <w:sz w:val="22"/>
          <w:szCs w:val="22"/>
          <w:lang w:eastAsia="en-GB"/>
        </w:rPr>
        <w:t xml:space="preserve">and tend to be </w:t>
      </w:r>
      <w:r w:rsidRPr="004850D9">
        <w:rPr>
          <w:rFonts w:eastAsia="Times New Roman"/>
          <w:sz w:val="22"/>
          <w:szCs w:val="22"/>
          <w:lang w:eastAsia="en-GB"/>
        </w:rPr>
        <w:t>more intelligent and autonomous.</w:t>
      </w:r>
    </w:p>
    <w:p w14:paraId="71B703FB" w14:textId="71988832" w:rsidR="004850D9" w:rsidRPr="004850D9" w:rsidRDefault="004850D9" w:rsidP="004850D9">
      <w:pPr>
        <w:pStyle w:val="Heading2"/>
        <w:rPr>
          <w:b/>
          <w:bCs/>
          <w:lang w:eastAsia="en-GB"/>
        </w:rPr>
      </w:pPr>
      <w:r w:rsidRPr="004850D9">
        <w:rPr>
          <w:b/>
          <w:bCs/>
          <w:lang w:eastAsia="en-GB"/>
        </w:rPr>
        <w:t>3.3</w:t>
      </w:r>
      <w:r>
        <w:rPr>
          <w:b/>
          <w:bCs/>
          <w:lang w:eastAsia="en-GB"/>
        </w:rPr>
        <w:tab/>
      </w:r>
      <w:r w:rsidRPr="004850D9">
        <w:rPr>
          <w:b/>
          <w:bCs/>
          <w:lang w:eastAsia="en-GB"/>
        </w:rPr>
        <w:t>Benefits of defining logical Management Functions</w:t>
      </w:r>
    </w:p>
    <w:p w14:paraId="1520AF98" w14:textId="402A61CD" w:rsidR="004850D9" w:rsidRPr="004850D9" w:rsidRDefault="004850D9" w:rsidP="004850D9">
      <w:p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Establishing </w:t>
      </w:r>
      <w:r w:rsidR="007D2A37">
        <w:rPr>
          <w:rFonts w:eastAsia="Times New Roman"/>
          <w:sz w:val="22"/>
          <w:szCs w:val="22"/>
          <w:lang w:eastAsia="en-GB"/>
        </w:rPr>
        <w:t>well-defined</w:t>
      </w:r>
      <w:r w:rsidRPr="004850D9">
        <w:rPr>
          <w:rFonts w:eastAsia="Times New Roman"/>
          <w:sz w:val="22"/>
          <w:szCs w:val="22"/>
          <w:lang w:eastAsia="en-GB"/>
        </w:rPr>
        <w:t xml:space="preserve">, logical </w:t>
      </w:r>
      <w:proofErr w:type="spellStart"/>
      <w:r w:rsidRPr="004850D9">
        <w:rPr>
          <w:rFonts w:eastAsia="Times New Roman"/>
          <w:sz w:val="22"/>
          <w:szCs w:val="22"/>
          <w:lang w:eastAsia="en-GB"/>
        </w:rPr>
        <w:t>MnFs</w:t>
      </w:r>
      <w:proofErr w:type="spellEnd"/>
      <w:r w:rsidRPr="004850D9">
        <w:rPr>
          <w:rFonts w:eastAsia="Times New Roman"/>
          <w:sz w:val="22"/>
          <w:szCs w:val="22"/>
          <w:lang w:eastAsia="en-GB"/>
        </w:rPr>
        <w:t xml:space="preserve"> provides a minimal but essential architectural </w:t>
      </w:r>
      <w:r w:rsidR="007D2A37">
        <w:rPr>
          <w:rFonts w:eastAsia="Times New Roman"/>
          <w:sz w:val="22"/>
          <w:szCs w:val="22"/>
          <w:lang w:eastAsia="en-GB"/>
        </w:rPr>
        <w:t>perspective</w:t>
      </w:r>
      <w:r w:rsidRPr="004850D9">
        <w:rPr>
          <w:rFonts w:eastAsia="Times New Roman"/>
          <w:sz w:val="22"/>
          <w:szCs w:val="22"/>
          <w:lang w:eastAsia="en-GB"/>
        </w:rPr>
        <w:t xml:space="preserve"> that groups </w:t>
      </w:r>
      <w:proofErr w:type="spellStart"/>
      <w:r w:rsidRPr="004850D9">
        <w:rPr>
          <w:rFonts w:eastAsia="Times New Roman"/>
          <w:sz w:val="22"/>
          <w:szCs w:val="22"/>
          <w:lang w:eastAsia="en-GB"/>
        </w:rPr>
        <w:t>MnSs</w:t>
      </w:r>
      <w:proofErr w:type="spellEnd"/>
      <w:r w:rsidR="007D2A37">
        <w:rPr>
          <w:rFonts w:eastAsia="Times New Roman"/>
          <w:sz w:val="22"/>
          <w:szCs w:val="22"/>
          <w:lang w:eastAsia="en-GB"/>
        </w:rPr>
        <w:t xml:space="preserve"> with related scope,</w:t>
      </w:r>
      <w:r w:rsidRPr="004850D9">
        <w:rPr>
          <w:rFonts w:eastAsia="Times New Roman"/>
          <w:sz w:val="22"/>
          <w:szCs w:val="22"/>
          <w:lang w:eastAsia="en-GB"/>
        </w:rPr>
        <w:t xml:space="preserve"> under consistent functional identities. This:</w:t>
      </w:r>
    </w:p>
    <w:p w14:paraId="21FD13FE" w14:textId="3516D952" w:rsidR="004850D9" w:rsidRDefault="004850D9" w:rsidP="00D512DA">
      <w:pPr>
        <w:numPr>
          <w:ilvl w:val="0"/>
          <w:numId w:val="5"/>
        </w:num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Clarifies responsibilities and </w:t>
      </w:r>
      <w:r w:rsidR="007D2A37">
        <w:rPr>
          <w:rFonts w:eastAsia="Times New Roman"/>
          <w:sz w:val="22"/>
          <w:szCs w:val="22"/>
          <w:lang w:eastAsia="en-GB"/>
        </w:rPr>
        <w:t xml:space="preserve">improves </w:t>
      </w:r>
      <w:r w:rsidRPr="004850D9">
        <w:rPr>
          <w:rFonts w:eastAsia="Times New Roman"/>
          <w:sz w:val="22"/>
          <w:szCs w:val="22"/>
          <w:lang w:eastAsia="en-GB"/>
        </w:rPr>
        <w:t xml:space="preserve">traceability between </w:t>
      </w:r>
      <w:proofErr w:type="spellStart"/>
      <w:r w:rsidR="00572CF8" w:rsidRPr="004850D9">
        <w:rPr>
          <w:rFonts w:eastAsia="Times New Roman"/>
          <w:sz w:val="22"/>
          <w:szCs w:val="22"/>
          <w:lang w:eastAsia="en-GB"/>
        </w:rPr>
        <w:t>MnS</w:t>
      </w:r>
      <w:proofErr w:type="spellEnd"/>
      <w:r w:rsidR="00572CF8" w:rsidRPr="004850D9">
        <w:rPr>
          <w:rFonts w:eastAsia="Times New Roman"/>
          <w:sz w:val="22"/>
          <w:szCs w:val="22"/>
          <w:lang w:eastAsia="en-GB"/>
        </w:rPr>
        <w:t xml:space="preserve"> producers</w:t>
      </w:r>
      <w:r w:rsidRPr="004850D9">
        <w:rPr>
          <w:rFonts w:eastAsia="Times New Roman"/>
          <w:sz w:val="22"/>
          <w:szCs w:val="22"/>
          <w:lang w:eastAsia="en-GB"/>
        </w:rPr>
        <w:t xml:space="preserve"> and </w:t>
      </w:r>
      <w:proofErr w:type="spellStart"/>
      <w:r w:rsidR="007D2A37">
        <w:rPr>
          <w:rFonts w:eastAsia="Times New Roman"/>
          <w:sz w:val="22"/>
          <w:szCs w:val="22"/>
          <w:lang w:eastAsia="en-GB"/>
        </w:rPr>
        <w:t>MnS</w:t>
      </w:r>
      <w:proofErr w:type="spellEnd"/>
      <w:r w:rsidR="007D2A37">
        <w:rPr>
          <w:rFonts w:eastAsia="Times New Roman"/>
          <w:sz w:val="22"/>
          <w:szCs w:val="22"/>
          <w:lang w:eastAsia="en-GB"/>
        </w:rPr>
        <w:t xml:space="preserve"> </w:t>
      </w:r>
      <w:r w:rsidRPr="004850D9">
        <w:rPr>
          <w:rFonts w:eastAsia="Times New Roman"/>
          <w:sz w:val="22"/>
          <w:szCs w:val="22"/>
          <w:lang w:eastAsia="en-GB"/>
        </w:rPr>
        <w:t>consumers.</w:t>
      </w:r>
    </w:p>
    <w:p w14:paraId="05E210DA" w14:textId="77777777" w:rsidR="00D644DE" w:rsidRDefault="00D644DE" w:rsidP="00D644DE">
      <w:pPr>
        <w:numPr>
          <w:ilvl w:val="0"/>
          <w:numId w:val="5"/>
        </w:numPr>
        <w:spacing w:before="100" w:beforeAutospacing="1" w:after="100" w:afterAutospacing="1"/>
        <w:rPr>
          <w:rFonts w:eastAsia="Times New Roman"/>
          <w:sz w:val="22"/>
          <w:szCs w:val="22"/>
          <w:lang w:eastAsia="en-GB"/>
        </w:rPr>
      </w:pPr>
      <w:r>
        <w:rPr>
          <w:rFonts w:eastAsia="Times New Roman"/>
          <w:sz w:val="22"/>
          <w:szCs w:val="22"/>
          <w:lang w:eastAsia="en-GB"/>
        </w:rPr>
        <w:t>Allows the c</w:t>
      </w:r>
      <w:r w:rsidRPr="001E258D">
        <w:rPr>
          <w:rFonts w:eastAsia="Times New Roman"/>
          <w:sz w:val="22"/>
          <w:szCs w:val="22"/>
          <w:lang w:eastAsia="en-GB"/>
        </w:rPr>
        <w:t>ompos</w:t>
      </w:r>
      <w:r>
        <w:rPr>
          <w:rFonts w:eastAsia="Times New Roman"/>
          <w:sz w:val="22"/>
          <w:szCs w:val="22"/>
          <w:lang w:eastAsia="en-GB"/>
        </w:rPr>
        <w:t>ition of</w:t>
      </w:r>
      <w:r w:rsidRPr="001E258D">
        <w:rPr>
          <w:rFonts w:eastAsia="Times New Roman"/>
          <w:sz w:val="22"/>
          <w:szCs w:val="22"/>
          <w:lang w:eastAsia="en-GB"/>
        </w:rPr>
        <w:t xml:space="preserve"> higher-level abstractions,</w:t>
      </w:r>
      <w:r>
        <w:rPr>
          <w:rFonts w:eastAsia="Times New Roman"/>
          <w:sz w:val="22"/>
          <w:szCs w:val="22"/>
          <w:lang w:eastAsia="en-GB"/>
        </w:rPr>
        <w:t xml:space="preserve"> used for p</w:t>
      </w:r>
      <w:r w:rsidRPr="00BC0954">
        <w:rPr>
          <w:rFonts w:eastAsia="Times New Roman"/>
          <w:sz w:val="22"/>
          <w:szCs w:val="22"/>
          <w:lang w:eastAsia="en-GB"/>
        </w:rPr>
        <w:t>recise control of management logic.</w:t>
      </w:r>
    </w:p>
    <w:p w14:paraId="4CAD28FA" w14:textId="77777777" w:rsidR="00D644DE" w:rsidRPr="00D33BE3" w:rsidRDefault="00D644DE" w:rsidP="00D644DE">
      <w:pPr>
        <w:numPr>
          <w:ilvl w:val="0"/>
          <w:numId w:val="5"/>
        </w:numPr>
        <w:spacing w:before="100" w:beforeAutospacing="1" w:after="100" w:afterAutospacing="1"/>
        <w:rPr>
          <w:rFonts w:eastAsia="Times New Roman"/>
          <w:sz w:val="22"/>
          <w:szCs w:val="22"/>
          <w:lang w:eastAsia="en-GB"/>
        </w:rPr>
      </w:pPr>
      <w:r>
        <w:rPr>
          <w:rFonts w:eastAsia="Times New Roman"/>
          <w:sz w:val="22"/>
          <w:szCs w:val="22"/>
          <w:lang w:eastAsia="en-GB"/>
        </w:rPr>
        <w:t>Allows for b</w:t>
      </w:r>
      <w:r w:rsidRPr="00F9500B">
        <w:rPr>
          <w:rFonts w:eastAsia="Times New Roman"/>
          <w:sz w:val="22"/>
          <w:szCs w:val="22"/>
          <w:lang w:eastAsia="en-GB"/>
        </w:rPr>
        <w:t>etter observability and troubleshooting capabilities.</w:t>
      </w:r>
    </w:p>
    <w:p w14:paraId="04F4AC7A" w14:textId="7F5E1E18" w:rsidR="004850D9" w:rsidRPr="004850D9" w:rsidRDefault="004850D9" w:rsidP="00D512DA">
      <w:pPr>
        <w:numPr>
          <w:ilvl w:val="0"/>
          <w:numId w:val="5"/>
        </w:numPr>
        <w:spacing w:before="100" w:beforeAutospacing="1" w:after="100" w:afterAutospacing="1"/>
        <w:rPr>
          <w:rFonts w:eastAsia="Times New Roman"/>
          <w:sz w:val="22"/>
          <w:szCs w:val="22"/>
          <w:lang w:eastAsia="en-GB"/>
        </w:rPr>
      </w:pPr>
      <w:r w:rsidRPr="004850D9">
        <w:rPr>
          <w:rFonts w:eastAsia="Times New Roman"/>
          <w:sz w:val="22"/>
          <w:szCs w:val="22"/>
          <w:lang w:eastAsia="en-GB"/>
        </w:rPr>
        <w:t>Facilitates cross-WG</w:t>
      </w:r>
      <w:r w:rsidR="00D644DE">
        <w:rPr>
          <w:rFonts w:eastAsia="Times New Roman"/>
          <w:sz w:val="22"/>
          <w:szCs w:val="22"/>
          <w:lang w:eastAsia="en-GB"/>
        </w:rPr>
        <w:t>s collaboration</w:t>
      </w:r>
      <w:r w:rsidRPr="004850D9">
        <w:rPr>
          <w:rFonts w:eastAsia="Times New Roman"/>
          <w:sz w:val="22"/>
          <w:szCs w:val="22"/>
          <w:lang w:eastAsia="en-GB"/>
        </w:rPr>
        <w:t xml:space="preserve"> and alignment</w:t>
      </w:r>
      <w:r w:rsidR="00D644DE">
        <w:rPr>
          <w:rFonts w:eastAsia="Times New Roman"/>
          <w:sz w:val="22"/>
          <w:szCs w:val="22"/>
          <w:lang w:eastAsia="en-GB"/>
        </w:rPr>
        <w:t xml:space="preserve"> with external organisations</w:t>
      </w:r>
      <w:r w:rsidRPr="004850D9">
        <w:rPr>
          <w:rFonts w:eastAsia="Times New Roman"/>
          <w:sz w:val="22"/>
          <w:szCs w:val="22"/>
          <w:lang w:eastAsia="en-GB"/>
        </w:rPr>
        <w:t>, reducing overlap and duplication.</w:t>
      </w:r>
    </w:p>
    <w:p w14:paraId="39897673" w14:textId="77777777" w:rsidR="004850D9" w:rsidRPr="004850D9" w:rsidRDefault="004850D9" w:rsidP="00D512DA">
      <w:pPr>
        <w:numPr>
          <w:ilvl w:val="0"/>
          <w:numId w:val="5"/>
        </w:numPr>
        <w:spacing w:before="100" w:beforeAutospacing="1" w:after="100" w:afterAutospacing="1"/>
        <w:rPr>
          <w:rFonts w:eastAsia="Times New Roman"/>
          <w:sz w:val="22"/>
          <w:szCs w:val="22"/>
          <w:lang w:eastAsia="en-GB"/>
        </w:rPr>
      </w:pPr>
      <w:r w:rsidRPr="004850D9">
        <w:rPr>
          <w:rFonts w:eastAsia="Times New Roman"/>
          <w:sz w:val="22"/>
          <w:szCs w:val="22"/>
          <w:lang w:eastAsia="en-GB"/>
        </w:rPr>
        <w:t>Supports ongoing evolution towards more intelligent, automated, and intent-driven management.</w:t>
      </w:r>
    </w:p>
    <w:p w14:paraId="6991E11B" w14:textId="77777777" w:rsidR="004850D9" w:rsidRPr="004850D9" w:rsidRDefault="004850D9" w:rsidP="00D512DA">
      <w:pPr>
        <w:numPr>
          <w:ilvl w:val="0"/>
          <w:numId w:val="5"/>
        </w:numPr>
        <w:spacing w:before="100" w:beforeAutospacing="1" w:after="100" w:afterAutospacing="1"/>
        <w:rPr>
          <w:rFonts w:eastAsia="Times New Roman"/>
          <w:sz w:val="22"/>
          <w:szCs w:val="22"/>
          <w:lang w:eastAsia="en-GB"/>
        </w:rPr>
      </w:pPr>
      <w:r w:rsidRPr="004850D9">
        <w:rPr>
          <w:rFonts w:eastAsia="Times New Roman"/>
          <w:sz w:val="22"/>
          <w:szCs w:val="22"/>
          <w:lang w:eastAsia="en-GB"/>
        </w:rPr>
        <w:t xml:space="preserve">Preserves implementation flexibility by keeping </w:t>
      </w:r>
      <w:proofErr w:type="spellStart"/>
      <w:r w:rsidRPr="004850D9">
        <w:rPr>
          <w:rFonts w:eastAsia="Times New Roman"/>
          <w:sz w:val="22"/>
          <w:szCs w:val="22"/>
          <w:lang w:eastAsia="en-GB"/>
        </w:rPr>
        <w:t>MnFs</w:t>
      </w:r>
      <w:proofErr w:type="spellEnd"/>
      <w:r w:rsidRPr="004850D9">
        <w:rPr>
          <w:rFonts w:eastAsia="Times New Roman"/>
          <w:sz w:val="22"/>
          <w:szCs w:val="22"/>
          <w:lang w:eastAsia="en-GB"/>
        </w:rPr>
        <w:t xml:space="preserve"> logical and implementation-agnostic.</w:t>
      </w:r>
    </w:p>
    <w:p w14:paraId="1C75C604" w14:textId="4489407A" w:rsidR="004850D9" w:rsidRDefault="004850D9" w:rsidP="004850D9">
      <w:pPr>
        <w:pStyle w:val="Heading2"/>
        <w:rPr>
          <w:b/>
          <w:bCs/>
          <w:lang w:eastAsia="en-GB"/>
        </w:rPr>
      </w:pPr>
      <w:r w:rsidRPr="004850D9">
        <w:rPr>
          <w:b/>
          <w:bCs/>
          <w:lang w:eastAsia="en-GB"/>
        </w:rPr>
        <w:t>3.4</w:t>
      </w:r>
      <w:r>
        <w:rPr>
          <w:b/>
          <w:bCs/>
          <w:lang w:eastAsia="en-GB"/>
        </w:rPr>
        <w:tab/>
      </w:r>
      <w:r w:rsidR="00135C16" w:rsidRPr="00135C16">
        <w:rPr>
          <w:b/>
          <w:bCs/>
          <w:lang w:eastAsia="en-GB"/>
        </w:rPr>
        <w:t>Introduction of</w:t>
      </w:r>
      <w:r w:rsidRPr="004850D9">
        <w:rPr>
          <w:b/>
          <w:bCs/>
          <w:lang w:eastAsia="en-GB"/>
        </w:rPr>
        <w:t xml:space="preserve"> a </w:t>
      </w:r>
      <w:r w:rsidR="00135C16">
        <w:rPr>
          <w:b/>
          <w:bCs/>
          <w:lang w:eastAsia="en-GB"/>
        </w:rPr>
        <w:t xml:space="preserve">coherent </w:t>
      </w:r>
      <w:r w:rsidRPr="004850D9">
        <w:rPr>
          <w:b/>
          <w:bCs/>
          <w:lang w:eastAsia="en-GB"/>
        </w:rPr>
        <w:t>reference architecture in Rel-19</w:t>
      </w:r>
    </w:p>
    <w:p w14:paraId="3CB16034" w14:textId="5AE336DF" w:rsidR="00135C16" w:rsidRPr="00135C16" w:rsidRDefault="00135C16" w:rsidP="00135C16">
      <w:pPr>
        <w:rPr>
          <w:lang w:eastAsia="en-GB"/>
        </w:rPr>
      </w:pPr>
      <w:r w:rsidRPr="00135C16">
        <w:rPr>
          <w:lang w:eastAsia="en-GB"/>
        </w:rPr>
        <w:br/>
        <w:t>Feedback from SA5#161 highlighted the importance of having a reference architecture that is clear, coherent, and directly mappable to existing specifications. The updated proposal in Rel-19 therefore refines the architecture by:</w:t>
      </w:r>
    </w:p>
    <w:p w14:paraId="7BC48C72" w14:textId="77777777" w:rsidR="00135C16" w:rsidRPr="00135C16" w:rsidRDefault="00135C16" w:rsidP="00135C16">
      <w:pPr>
        <w:numPr>
          <w:ilvl w:val="0"/>
          <w:numId w:val="14"/>
        </w:numPr>
        <w:rPr>
          <w:lang w:eastAsia="en-GB"/>
        </w:rPr>
      </w:pPr>
      <w:r w:rsidRPr="00135C16">
        <w:rPr>
          <w:lang w:eastAsia="en-GB"/>
        </w:rPr>
        <w:t xml:space="preserve">Including additional logical </w:t>
      </w:r>
      <w:proofErr w:type="spellStart"/>
      <w:r w:rsidRPr="00135C16">
        <w:rPr>
          <w:lang w:eastAsia="en-GB"/>
        </w:rPr>
        <w:t>MnFs</w:t>
      </w:r>
      <w:proofErr w:type="spellEnd"/>
      <w:r w:rsidRPr="00135C16">
        <w:rPr>
          <w:lang w:eastAsia="en-GB"/>
        </w:rPr>
        <w:t xml:space="preserve"> where needed to make the architecture complete and consistent with capabilities already specified in existing TSs.</w:t>
      </w:r>
    </w:p>
    <w:p w14:paraId="3E4CDE49" w14:textId="77777777" w:rsidR="00135C16" w:rsidRPr="00135C16" w:rsidRDefault="00135C16" w:rsidP="00135C16">
      <w:pPr>
        <w:numPr>
          <w:ilvl w:val="0"/>
          <w:numId w:val="14"/>
        </w:numPr>
        <w:rPr>
          <w:lang w:eastAsia="en-GB"/>
        </w:rPr>
      </w:pPr>
      <w:r w:rsidRPr="00135C16">
        <w:rPr>
          <w:lang w:eastAsia="en-GB"/>
        </w:rPr>
        <w:t xml:space="preserve">Keeping </w:t>
      </w:r>
      <w:proofErr w:type="spellStart"/>
      <w:r w:rsidRPr="00135C16">
        <w:rPr>
          <w:lang w:eastAsia="en-GB"/>
        </w:rPr>
        <w:t>MnFs</w:t>
      </w:r>
      <w:proofErr w:type="spellEnd"/>
      <w:r w:rsidRPr="00135C16">
        <w:rPr>
          <w:lang w:eastAsia="en-GB"/>
        </w:rPr>
        <w:t xml:space="preserve"> at the logical level to avoid constraining implementations.</w:t>
      </w:r>
    </w:p>
    <w:p w14:paraId="25F86D83" w14:textId="77777777" w:rsidR="00135C16" w:rsidRPr="00135C16" w:rsidRDefault="00135C16" w:rsidP="00135C16">
      <w:pPr>
        <w:numPr>
          <w:ilvl w:val="0"/>
          <w:numId w:val="14"/>
        </w:numPr>
        <w:rPr>
          <w:lang w:eastAsia="en-GB"/>
        </w:rPr>
      </w:pPr>
      <w:r w:rsidRPr="00135C16">
        <w:rPr>
          <w:lang w:eastAsia="en-GB"/>
        </w:rPr>
        <w:lastRenderedPageBreak/>
        <w:t xml:space="preserve">Ensuring compatibility with existing service-based management architecture (SBMA) principles and </w:t>
      </w:r>
      <w:proofErr w:type="spellStart"/>
      <w:r w:rsidRPr="00135C16">
        <w:rPr>
          <w:lang w:eastAsia="en-GB"/>
        </w:rPr>
        <w:t>MnS</w:t>
      </w:r>
      <w:proofErr w:type="spellEnd"/>
      <w:r w:rsidRPr="00135C16">
        <w:rPr>
          <w:lang w:eastAsia="en-GB"/>
        </w:rPr>
        <w:t xml:space="preserve"> definitions.</w:t>
      </w:r>
    </w:p>
    <w:p w14:paraId="468E1002" w14:textId="77777777" w:rsidR="00135C16" w:rsidRPr="00135C16" w:rsidRDefault="00135C16" w:rsidP="00135C16">
      <w:pPr>
        <w:numPr>
          <w:ilvl w:val="0"/>
          <w:numId w:val="14"/>
        </w:numPr>
        <w:rPr>
          <w:lang w:eastAsia="en-GB"/>
        </w:rPr>
      </w:pPr>
      <w:r w:rsidRPr="00135C16">
        <w:rPr>
          <w:lang w:eastAsia="en-GB"/>
        </w:rPr>
        <w:t>Providing a solid, well-structured baseline for Rel-19 that can evolve in Rel-20 and beyond to support advanced AI/ML, closed-loop automation, and cross-domain orchestration.</w:t>
      </w:r>
    </w:p>
    <w:p w14:paraId="5308F943" w14:textId="77777777" w:rsidR="00135C16" w:rsidRPr="00135C16" w:rsidRDefault="00135C16" w:rsidP="00135C16">
      <w:pPr>
        <w:rPr>
          <w:lang w:eastAsia="en-GB"/>
        </w:rPr>
      </w:pPr>
      <w:r w:rsidRPr="00135C16">
        <w:rPr>
          <w:lang w:eastAsia="en-GB"/>
        </w:rPr>
        <w:t>This approach gives SA5 a practical, standards-aligned foundation for future development while avoiding unnecessary complexity and ensuring architectural consistency across domains.</w:t>
      </w:r>
    </w:p>
    <w:p w14:paraId="11198E7E" w14:textId="77777777" w:rsidR="00135C16" w:rsidRPr="00135C16" w:rsidRDefault="00135C16" w:rsidP="00135C16">
      <w:pPr>
        <w:rPr>
          <w:lang w:eastAsia="en-GB"/>
        </w:rPr>
      </w:pPr>
    </w:p>
    <w:p w14:paraId="646D9F47" w14:textId="3B6A73A8" w:rsidR="0054038E" w:rsidRPr="0054038E" w:rsidRDefault="0054038E" w:rsidP="0054038E">
      <w:pPr>
        <w:pStyle w:val="Heading2"/>
        <w:rPr>
          <w:b/>
          <w:bCs/>
          <w:lang w:eastAsia="en-GB"/>
        </w:rPr>
      </w:pPr>
      <w:r w:rsidRPr="0054038E">
        <w:rPr>
          <w:b/>
          <w:bCs/>
          <w:lang w:eastAsia="en-GB"/>
        </w:rPr>
        <w:t xml:space="preserve">3.5 </w:t>
      </w:r>
      <w:r>
        <w:rPr>
          <w:b/>
          <w:bCs/>
          <w:lang w:eastAsia="en-GB"/>
        </w:rPr>
        <w:tab/>
      </w:r>
      <w:r w:rsidRPr="0054038E">
        <w:rPr>
          <w:b/>
          <w:bCs/>
          <w:lang w:eastAsia="en-GB"/>
        </w:rPr>
        <w:t xml:space="preserve">Why </w:t>
      </w:r>
      <w:r>
        <w:rPr>
          <w:b/>
          <w:bCs/>
          <w:lang w:eastAsia="en-GB"/>
        </w:rPr>
        <w:t>it is</w:t>
      </w:r>
      <w:r w:rsidRPr="0054038E">
        <w:rPr>
          <w:b/>
          <w:bCs/>
          <w:lang w:eastAsia="en-GB"/>
        </w:rPr>
        <w:t xml:space="preserve"> </w:t>
      </w:r>
      <w:r>
        <w:rPr>
          <w:b/>
          <w:bCs/>
          <w:lang w:eastAsia="en-GB"/>
        </w:rPr>
        <w:t>i</w:t>
      </w:r>
      <w:r w:rsidRPr="0054038E">
        <w:rPr>
          <w:b/>
          <w:bCs/>
          <w:lang w:eastAsia="en-GB"/>
        </w:rPr>
        <w:t xml:space="preserve">mportant to </w:t>
      </w:r>
      <w:r>
        <w:rPr>
          <w:b/>
          <w:bCs/>
          <w:lang w:eastAsia="en-GB"/>
        </w:rPr>
        <w:t>i</w:t>
      </w:r>
      <w:r w:rsidRPr="0054038E">
        <w:rPr>
          <w:b/>
          <w:bCs/>
          <w:lang w:eastAsia="en-GB"/>
        </w:rPr>
        <w:t xml:space="preserve">ntroduce the </w:t>
      </w:r>
      <w:r>
        <w:rPr>
          <w:b/>
          <w:bCs/>
          <w:lang w:eastAsia="en-GB"/>
        </w:rPr>
        <w:t>r</w:t>
      </w:r>
      <w:r w:rsidRPr="0054038E">
        <w:rPr>
          <w:b/>
          <w:bCs/>
          <w:lang w:eastAsia="en-GB"/>
        </w:rPr>
        <w:t xml:space="preserve">eference </w:t>
      </w:r>
      <w:r>
        <w:rPr>
          <w:b/>
          <w:bCs/>
          <w:lang w:eastAsia="en-GB"/>
        </w:rPr>
        <w:t>a</w:t>
      </w:r>
      <w:r w:rsidRPr="0054038E">
        <w:rPr>
          <w:b/>
          <w:bCs/>
          <w:lang w:eastAsia="en-GB"/>
        </w:rPr>
        <w:t>rchitecture in Rel-19</w:t>
      </w:r>
    </w:p>
    <w:p w14:paraId="5C8453D0" w14:textId="12227202" w:rsidR="0054038E" w:rsidRPr="0054038E" w:rsidRDefault="00246F80" w:rsidP="0054038E">
      <w:pPr>
        <w:spacing w:before="100" w:beforeAutospacing="1" w:after="100" w:afterAutospacing="1"/>
        <w:rPr>
          <w:rFonts w:eastAsia="Times New Roman"/>
          <w:sz w:val="22"/>
          <w:szCs w:val="22"/>
          <w:lang w:eastAsia="en-GB"/>
        </w:rPr>
      </w:pPr>
      <w:r>
        <w:rPr>
          <w:rFonts w:eastAsia="Times New Roman"/>
          <w:sz w:val="22"/>
          <w:szCs w:val="22"/>
          <w:lang w:eastAsia="en-GB"/>
        </w:rPr>
        <w:t>Deferring the introduction of reference architecture until</w:t>
      </w:r>
      <w:r w:rsidR="0054038E" w:rsidRPr="0054038E">
        <w:rPr>
          <w:rFonts w:eastAsia="Times New Roman"/>
          <w:sz w:val="22"/>
          <w:szCs w:val="22"/>
          <w:lang w:eastAsia="en-GB"/>
        </w:rPr>
        <w:t xml:space="preserve"> Rel-20</w:t>
      </w:r>
      <w:r w:rsidR="00922357">
        <w:rPr>
          <w:rFonts w:eastAsia="Times New Roman"/>
          <w:sz w:val="22"/>
          <w:szCs w:val="22"/>
          <w:lang w:eastAsia="en-GB"/>
        </w:rPr>
        <w:t xml:space="preserve"> 5GA</w:t>
      </w:r>
      <w:r w:rsidR="0054038E" w:rsidRPr="0054038E">
        <w:rPr>
          <w:rFonts w:eastAsia="Times New Roman"/>
          <w:sz w:val="22"/>
          <w:szCs w:val="22"/>
          <w:lang w:eastAsia="en-GB"/>
        </w:rPr>
        <w:t xml:space="preserve"> or 6G </w:t>
      </w:r>
      <w:r w:rsidR="009368F5">
        <w:rPr>
          <w:rFonts w:eastAsia="Times New Roman"/>
          <w:sz w:val="22"/>
          <w:szCs w:val="22"/>
          <w:lang w:eastAsia="en-GB"/>
        </w:rPr>
        <w:t>discussion is</w:t>
      </w:r>
      <w:r>
        <w:rPr>
          <w:rFonts w:eastAsia="Times New Roman"/>
          <w:sz w:val="22"/>
          <w:szCs w:val="22"/>
          <w:lang w:eastAsia="en-GB"/>
        </w:rPr>
        <w:t xml:space="preserve"> finalized</w:t>
      </w:r>
      <w:r w:rsidR="0054038E" w:rsidRPr="0054038E">
        <w:rPr>
          <w:rFonts w:eastAsia="Times New Roman"/>
          <w:sz w:val="22"/>
          <w:szCs w:val="22"/>
          <w:lang w:eastAsia="en-GB"/>
        </w:rPr>
        <w:t xml:space="preserve"> could lead to further confusion and duplication. As more working groups continue developing management functions for areas like </w:t>
      </w:r>
      <w:r w:rsidR="00396F3C">
        <w:rPr>
          <w:rFonts w:eastAsia="Times New Roman"/>
          <w:sz w:val="22"/>
          <w:szCs w:val="22"/>
          <w:lang w:eastAsia="en-GB"/>
        </w:rPr>
        <w:t xml:space="preserve">Integrated Sensing and Communication, </w:t>
      </w:r>
      <w:r w:rsidR="006D617A">
        <w:rPr>
          <w:rFonts w:eastAsia="Times New Roman"/>
          <w:sz w:val="22"/>
          <w:szCs w:val="22"/>
          <w:lang w:eastAsia="en-GB"/>
        </w:rPr>
        <w:t xml:space="preserve">Satellite (NTN) Networks, </w:t>
      </w:r>
      <w:r w:rsidR="0054038E" w:rsidRPr="0054038E">
        <w:rPr>
          <w:rFonts w:eastAsia="Times New Roman"/>
          <w:sz w:val="22"/>
          <w:szCs w:val="22"/>
          <w:lang w:eastAsia="en-GB"/>
        </w:rPr>
        <w:t xml:space="preserve">AI/ML, automation, and intent-based management, the lack of </w:t>
      </w:r>
      <w:r>
        <w:rPr>
          <w:rFonts w:eastAsia="Times New Roman"/>
          <w:sz w:val="22"/>
          <w:szCs w:val="22"/>
          <w:lang w:eastAsia="en-GB"/>
        </w:rPr>
        <w:t>clear</w:t>
      </w:r>
      <w:r w:rsidR="0054038E" w:rsidRPr="0054038E">
        <w:rPr>
          <w:rFonts w:eastAsia="Times New Roman"/>
          <w:sz w:val="22"/>
          <w:szCs w:val="22"/>
          <w:lang w:eastAsia="en-GB"/>
        </w:rPr>
        <w:t xml:space="preserve"> architectural </w:t>
      </w:r>
      <w:r w:rsidR="006C0C9C">
        <w:rPr>
          <w:rFonts w:eastAsia="Times New Roman"/>
          <w:sz w:val="22"/>
          <w:szCs w:val="22"/>
          <w:lang w:eastAsia="en-GB"/>
        </w:rPr>
        <w:t>framework</w:t>
      </w:r>
      <w:r w:rsidR="0054038E" w:rsidRPr="0054038E">
        <w:rPr>
          <w:rFonts w:eastAsia="Times New Roman"/>
          <w:sz w:val="22"/>
          <w:szCs w:val="22"/>
          <w:lang w:eastAsia="en-GB"/>
        </w:rPr>
        <w:t xml:space="preserve"> may </w:t>
      </w:r>
      <w:r>
        <w:rPr>
          <w:rFonts w:eastAsia="Times New Roman"/>
          <w:sz w:val="22"/>
          <w:szCs w:val="22"/>
          <w:lang w:eastAsia="en-GB"/>
        </w:rPr>
        <w:t>lead to</w:t>
      </w:r>
      <w:r w:rsidR="0054038E" w:rsidRPr="0054038E">
        <w:rPr>
          <w:rFonts w:eastAsia="Times New Roman"/>
          <w:sz w:val="22"/>
          <w:szCs w:val="22"/>
          <w:lang w:eastAsia="en-GB"/>
        </w:rPr>
        <w:t xml:space="preserve"> overlap</w:t>
      </w:r>
      <w:r>
        <w:rPr>
          <w:rFonts w:eastAsia="Times New Roman"/>
          <w:sz w:val="22"/>
          <w:szCs w:val="22"/>
          <w:lang w:eastAsia="en-GB"/>
        </w:rPr>
        <w:t>ping activities</w:t>
      </w:r>
      <w:r w:rsidR="0054038E" w:rsidRPr="0054038E">
        <w:rPr>
          <w:rFonts w:eastAsia="Times New Roman"/>
          <w:sz w:val="22"/>
          <w:szCs w:val="22"/>
          <w:lang w:eastAsia="en-GB"/>
        </w:rPr>
        <w:t xml:space="preserve"> and make it harder to keep everything aligned.</w:t>
      </w:r>
    </w:p>
    <w:p w14:paraId="5B90376A" w14:textId="30B02AA5" w:rsidR="0054038E" w:rsidRPr="0054038E" w:rsidRDefault="0054038E" w:rsidP="0054038E">
      <w:pPr>
        <w:spacing w:before="100" w:beforeAutospacing="1" w:after="100" w:afterAutospacing="1"/>
        <w:rPr>
          <w:rFonts w:eastAsia="Times New Roman"/>
          <w:sz w:val="22"/>
          <w:szCs w:val="22"/>
          <w:lang w:eastAsia="en-GB"/>
        </w:rPr>
      </w:pPr>
      <w:r w:rsidRPr="0054038E">
        <w:rPr>
          <w:rFonts w:eastAsia="Times New Roman"/>
          <w:sz w:val="22"/>
          <w:szCs w:val="22"/>
          <w:lang w:eastAsia="en-GB"/>
        </w:rPr>
        <w:t xml:space="preserve">This risk is even higher now, as many 3GPP WGs are starting to explore </w:t>
      </w:r>
      <w:r w:rsidR="00C875DA">
        <w:rPr>
          <w:rFonts w:eastAsia="Times New Roman"/>
          <w:sz w:val="22"/>
          <w:szCs w:val="22"/>
          <w:lang w:eastAsia="en-GB"/>
        </w:rPr>
        <w:t xml:space="preserve">the introduction of new network functions, </w:t>
      </w:r>
      <w:r w:rsidRPr="0054038E">
        <w:rPr>
          <w:rFonts w:eastAsia="Times New Roman"/>
          <w:sz w:val="22"/>
          <w:szCs w:val="22"/>
          <w:lang w:eastAsia="en-GB"/>
        </w:rPr>
        <w:t>agentic AI features</w:t>
      </w:r>
      <w:r w:rsidR="00C875DA">
        <w:rPr>
          <w:rFonts w:eastAsia="Times New Roman"/>
          <w:sz w:val="22"/>
          <w:szCs w:val="22"/>
          <w:lang w:eastAsia="en-GB"/>
        </w:rPr>
        <w:t>,</w:t>
      </w:r>
      <w:r w:rsidR="004B3FEA">
        <w:rPr>
          <w:rFonts w:eastAsia="Times New Roman"/>
          <w:sz w:val="22"/>
          <w:szCs w:val="22"/>
          <w:lang w:eastAsia="en-GB"/>
        </w:rPr>
        <w:t xml:space="preserve"> </w:t>
      </w:r>
      <w:r w:rsidR="00843C3D">
        <w:rPr>
          <w:rFonts w:eastAsia="Times New Roman"/>
          <w:sz w:val="22"/>
          <w:szCs w:val="22"/>
          <w:lang w:eastAsia="en-GB"/>
        </w:rPr>
        <w:t xml:space="preserve">architectural enhancements, </w:t>
      </w:r>
      <w:r w:rsidR="00C875DA">
        <w:rPr>
          <w:rFonts w:eastAsia="Times New Roman"/>
          <w:sz w:val="22"/>
          <w:szCs w:val="22"/>
          <w:lang w:eastAsia="en-GB"/>
        </w:rPr>
        <w:t xml:space="preserve">control and management </w:t>
      </w:r>
      <w:r w:rsidRPr="0054038E">
        <w:rPr>
          <w:rFonts w:eastAsia="Times New Roman"/>
          <w:sz w:val="22"/>
          <w:szCs w:val="22"/>
          <w:lang w:eastAsia="en-GB"/>
        </w:rPr>
        <w:t>mechanisms as part of their 6G studies. Without a common architectural view from SA5, each group may define their own management functions independently, which could lead to inconsistencies and fragmented specifications.</w:t>
      </w:r>
    </w:p>
    <w:p w14:paraId="46AACA14" w14:textId="024632CC" w:rsidR="0054038E" w:rsidRPr="0054038E" w:rsidRDefault="0054038E" w:rsidP="0054038E">
      <w:pPr>
        <w:spacing w:before="100" w:beforeAutospacing="1" w:after="100" w:afterAutospacing="1"/>
        <w:rPr>
          <w:rFonts w:eastAsia="Times New Roman"/>
          <w:sz w:val="22"/>
          <w:szCs w:val="22"/>
          <w:lang w:eastAsia="en-GB"/>
        </w:rPr>
      </w:pPr>
      <w:r w:rsidRPr="0054038E">
        <w:rPr>
          <w:rFonts w:eastAsia="Times New Roman"/>
          <w:sz w:val="22"/>
          <w:szCs w:val="22"/>
          <w:lang w:eastAsia="en-GB"/>
        </w:rPr>
        <w:t xml:space="preserve">Introducing a </w:t>
      </w:r>
      <w:r w:rsidR="009368F5">
        <w:rPr>
          <w:rFonts w:eastAsia="Times New Roman"/>
          <w:sz w:val="22"/>
          <w:szCs w:val="22"/>
          <w:lang w:eastAsia="en-GB"/>
        </w:rPr>
        <w:t xml:space="preserve">coherent </w:t>
      </w:r>
      <w:r w:rsidRPr="0054038E">
        <w:rPr>
          <w:rFonts w:eastAsia="Times New Roman"/>
          <w:sz w:val="22"/>
          <w:szCs w:val="22"/>
          <w:lang w:eastAsia="en-GB"/>
        </w:rPr>
        <w:t xml:space="preserve">and clear reference architecture in Rel-19, </w:t>
      </w:r>
      <w:r w:rsidR="00246F80">
        <w:rPr>
          <w:rFonts w:eastAsia="Times New Roman"/>
          <w:sz w:val="22"/>
          <w:szCs w:val="22"/>
          <w:lang w:eastAsia="en-GB"/>
        </w:rPr>
        <w:t xml:space="preserve">would </w:t>
      </w:r>
      <w:r w:rsidRPr="0054038E">
        <w:rPr>
          <w:rFonts w:eastAsia="Times New Roman"/>
          <w:sz w:val="22"/>
          <w:szCs w:val="22"/>
          <w:lang w:eastAsia="en-GB"/>
        </w:rPr>
        <w:t>help avoid</w:t>
      </w:r>
      <w:r w:rsidR="00246F80">
        <w:rPr>
          <w:rFonts w:eastAsia="Times New Roman"/>
          <w:sz w:val="22"/>
          <w:szCs w:val="22"/>
          <w:lang w:eastAsia="en-GB"/>
        </w:rPr>
        <w:t>ing</w:t>
      </w:r>
      <w:r w:rsidRPr="0054038E">
        <w:rPr>
          <w:rFonts w:eastAsia="Times New Roman"/>
          <w:sz w:val="22"/>
          <w:szCs w:val="22"/>
          <w:lang w:eastAsia="en-GB"/>
        </w:rPr>
        <w:t xml:space="preserve"> these problems. It </w:t>
      </w:r>
      <w:r w:rsidR="00246F80">
        <w:rPr>
          <w:rFonts w:eastAsia="Times New Roman"/>
          <w:sz w:val="22"/>
          <w:szCs w:val="22"/>
          <w:lang w:eastAsia="en-GB"/>
        </w:rPr>
        <w:t>will provide us a</w:t>
      </w:r>
      <w:r w:rsidRPr="0054038E">
        <w:rPr>
          <w:rFonts w:eastAsia="Times New Roman"/>
          <w:sz w:val="22"/>
          <w:szCs w:val="22"/>
          <w:lang w:eastAsia="en-GB"/>
        </w:rPr>
        <w:t xml:space="preserve"> common foundation, so that new features planned for 5G Advanced and 6G </w:t>
      </w:r>
      <w:r w:rsidR="00193CF1">
        <w:rPr>
          <w:rFonts w:eastAsia="Times New Roman"/>
          <w:sz w:val="22"/>
          <w:szCs w:val="22"/>
          <w:lang w:eastAsia="en-GB"/>
        </w:rPr>
        <w:t xml:space="preserve">networks </w:t>
      </w:r>
      <w:r w:rsidRPr="0054038E">
        <w:rPr>
          <w:rFonts w:eastAsia="Times New Roman"/>
          <w:sz w:val="22"/>
          <w:szCs w:val="22"/>
          <w:lang w:eastAsia="en-GB"/>
        </w:rPr>
        <w:t>can build on it in a consistent way.</w:t>
      </w:r>
    </w:p>
    <w:p w14:paraId="211742AD" w14:textId="00EB0B89" w:rsidR="0054038E" w:rsidRPr="0054038E" w:rsidRDefault="0054038E" w:rsidP="0054038E">
      <w:pPr>
        <w:spacing w:before="100" w:beforeAutospacing="1" w:after="100" w:afterAutospacing="1"/>
        <w:rPr>
          <w:rFonts w:eastAsia="Times New Roman"/>
          <w:sz w:val="22"/>
          <w:szCs w:val="22"/>
          <w:lang w:eastAsia="en-GB"/>
        </w:rPr>
      </w:pPr>
      <w:r w:rsidRPr="0054038E">
        <w:rPr>
          <w:rFonts w:eastAsia="Times New Roman"/>
          <w:sz w:val="22"/>
          <w:szCs w:val="22"/>
          <w:lang w:eastAsia="en-GB"/>
        </w:rPr>
        <w:t xml:space="preserve">This </w:t>
      </w:r>
      <w:r w:rsidR="00246F80">
        <w:rPr>
          <w:rFonts w:eastAsia="Times New Roman"/>
          <w:sz w:val="22"/>
          <w:szCs w:val="22"/>
          <w:lang w:eastAsia="en-GB"/>
        </w:rPr>
        <w:t xml:space="preserve">will </w:t>
      </w:r>
      <w:r w:rsidRPr="0054038E">
        <w:rPr>
          <w:rFonts w:eastAsia="Times New Roman"/>
          <w:sz w:val="22"/>
          <w:szCs w:val="22"/>
          <w:lang w:eastAsia="en-GB"/>
        </w:rPr>
        <w:t xml:space="preserve">also strengthen SA5’s leadership role by guiding other groups and keeping the overall </w:t>
      </w:r>
      <w:r w:rsidR="007077E2">
        <w:rPr>
          <w:rFonts w:eastAsia="Times New Roman"/>
          <w:sz w:val="22"/>
          <w:szCs w:val="22"/>
          <w:lang w:eastAsia="en-GB"/>
        </w:rPr>
        <w:t xml:space="preserve">management </w:t>
      </w:r>
      <w:r w:rsidR="003E3D88">
        <w:rPr>
          <w:rFonts w:eastAsia="Times New Roman"/>
          <w:sz w:val="22"/>
          <w:szCs w:val="22"/>
          <w:lang w:eastAsia="en-GB"/>
        </w:rPr>
        <w:t xml:space="preserve">and orchestration </w:t>
      </w:r>
      <w:r w:rsidRPr="0054038E">
        <w:rPr>
          <w:rFonts w:eastAsia="Times New Roman"/>
          <w:sz w:val="22"/>
          <w:szCs w:val="22"/>
          <w:lang w:eastAsia="en-GB"/>
        </w:rPr>
        <w:t>system architecture clean and easier to evolve. Starting in Rel-19 gives us time to improve and expand the architecture step by step in future releases, based on a solid and agreed starting point.</w:t>
      </w:r>
    </w:p>
    <w:p w14:paraId="3E258817" w14:textId="3986BC2B" w:rsidR="009B476D" w:rsidRPr="009B476D" w:rsidRDefault="009B476D" w:rsidP="009B476D">
      <w:pPr>
        <w:pStyle w:val="Heading2"/>
      </w:pPr>
      <w:r w:rsidRPr="00DC0FF3">
        <w:rPr>
          <w:b/>
          <w:bCs/>
        </w:rPr>
        <w:t>3.6</w:t>
      </w:r>
      <w:r w:rsidRPr="00DC0FF3">
        <w:rPr>
          <w:b/>
          <w:bCs/>
        </w:rPr>
        <w:tab/>
        <w:t>On architectural flexibility &amp; implementation variants</w:t>
      </w:r>
    </w:p>
    <w:p w14:paraId="403CCE3A" w14:textId="77777777" w:rsidR="009368F5" w:rsidRPr="009368F5" w:rsidRDefault="009368F5" w:rsidP="009368F5">
      <w:pPr>
        <w:spacing w:before="100" w:beforeAutospacing="1" w:after="100" w:afterAutospacing="1"/>
        <w:rPr>
          <w:rFonts w:eastAsia="Times New Roman"/>
          <w:sz w:val="22"/>
          <w:szCs w:val="22"/>
          <w:lang w:eastAsia="en-GB"/>
        </w:rPr>
      </w:pPr>
      <w:r w:rsidRPr="009368F5">
        <w:rPr>
          <w:rFonts w:eastAsia="Times New Roman"/>
          <w:sz w:val="22"/>
          <w:szCs w:val="22"/>
          <w:lang w:eastAsia="en-GB"/>
        </w:rPr>
        <w:t>The proposed reference architecture is not intended to prescribe a complete or exhaustive set of Management Functions (</w:t>
      </w:r>
      <w:proofErr w:type="spellStart"/>
      <w:r w:rsidRPr="009368F5">
        <w:rPr>
          <w:rFonts w:eastAsia="Times New Roman"/>
          <w:sz w:val="22"/>
          <w:szCs w:val="22"/>
          <w:lang w:eastAsia="en-GB"/>
        </w:rPr>
        <w:t>MnFs</w:t>
      </w:r>
      <w:proofErr w:type="spellEnd"/>
      <w:r w:rsidRPr="009368F5">
        <w:rPr>
          <w:rFonts w:eastAsia="Times New Roman"/>
          <w:sz w:val="22"/>
          <w:szCs w:val="22"/>
          <w:lang w:eastAsia="en-GB"/>
        </w:rPr>
        <w:t>) and Management Services (</w:t>
      </w:r>
      <w:proofErr w:type="spellStart"/>
      <w:r w:rsidRPr="009368F5">
        <w:rPr>
          <w:rFonts w:eastAsia="Times New Roman"/>
          <w:sz w:val="22"/>
          <w:szCs w:val="22"/>
          <w:lang w:eastAsia="en-GB"/>
        </w:rPr>
        <w:t>MnSs</w:t>
      </w:r>
      <w:proofErr w:type="spellEnd"/>
      <w:r w:rsidRPr="009368F5">
        <w:rPr>
          <w:rFonts w:eastAsia="Times New Roman"/>
          <w:sz w:val="22"/>
          <w:szCs w:val="22"/>
          <w:lang w:eastAsia="en-GB"/>
        </w:rPr>
        <w:t xml:space="preserve">). As described in Sections 3.2, 3.3, and 3.4, its purpose is to provide a minimal yet coherent logical, implementation-agnostic framework that clearly maps </w:t>
      </w:r>
      <w:proofErr w:type="spellStart"/>
      <w:r w:rsidRPr="009368F5">
        <w:rPr>
          <w:rFonts w:eastAsia="Times New Roman"/>
          <w:sz w:val="22"/>
          <w:szCs w:val="22"/>
          <w:lang w:eastAsia="en-GB"/>
        </w:rPr>
        <w:t>MnFs</w:t>
      </w:r>
      <w:proofErr w:type="spellEnd"/>
      <w:r w:rsidRPr="009368F5">
        <w:rPr>
          <w:rFonts w:eastAsia="Times New Roman"/>
          <w:sz w:val="22"/>
          <w:szCs w:val="22"/>
          <w:lang w:eastAsia="en-GB"/>
        </w:rPr>
        <w:t xml:space="preserve"> to </w:t>
      </w:r>
      <w:proofErr w:type="spellStart"/>
      <w:r w:rsidRPr="009368F5">
        <w:rPr>
          <w:rFonts w:eastAsia="Times New Roman"/>
          <w:sz w:val="22"/>
          <w:szCs w:val="22"/>
          <w:lang w:eastAsia="en-GB"/>
        </w:rPr>
        <w:t>MnSs</w:t>
      </w:r>
      <w:proofErr w:type="spellEnd"/>
      <w:r w:rsidRPr="009368F5">
        <w:rPr>
          <w:rFonts w:eastAsia="Times New Roman"/>
          <w:sz w:val="22"/>
          <w:szCs w:val="22"/>
          <w:lang w:eastAsia="en-GB"/>
        </w:rPr>
        <w:t>/capabilities in a traceable and structured manner.</w:t>
      </w:r>
    </w:p>
    <w:p w14:paraId="77C0640E" w14:textId="77777777" w:rsidR="009368F5" w:rsidRPr="009368F5" w:rsidRDefault="009368F5" w:rsidP="009368F5">
      <w:pPr>
        <w:spacing w:before="100" w:beforeAutospacing="1" w:after="100" w:afterAutospacing="1"/>
        <w:rPr>
          <w:rFonts w:eastAsia="Times New Roman"/>
          <w:sz w:val="22"/>
          <w:szCs w:val="22"/>
          <w:lang w:eastAsia="en-GB"/>
        </w:rPr>
      </w:pPr>
      <w:r w:rsidRPr="009368F5">
        <w:rPr>
          <w:rFonts w:eastAsia="Times New Roman"/>
          <w:sz w:val="22"/>
          <w:szCs w:val="22"/>
          <w:lang w:eastAsia="en-GB"/>
        </w:rPr>
        <w:t>In line with other 3GPP architecture models, this approach promotes harmonisation and clarity while avoiding any constraints on implementation choices or technology realisations.</w:t>
      </w:r>
    </w:p>
    <w:p w14:paraId="18897BE1" w14:textId="17FA9061" w:rsidR="004850D9" w:rsidRDefault="004850D9" w:rsidP="004850D9">
      <w:pPr>
        <w:pStyle w:val="Heading1"/>
        <w:rPr>
          <w:b/>
          <w:bCs/>
        </w:rPr>
      </w:pPr>
      <w:r w:rsidRPr="004850D9">
        <w:rPr>
          <w:b/>
          <w:bCs/>
        </w:rPr>
        <w:t>4</w:t>
      </w:r>
      <w:r w:rsidRPr="004850D9">
        <w:rPr>
          <w:b/>
          <w:bCs/>
        </w:rPr>
        <w:tab/>
        <w:t>Proposals</w:t>
      </w:r>
    </w:p>
    <w:p w14:paraId="04BDDA65" w14:textId="4F146522" w:rsidR="00456EBF" w:rsidRPr="00DC0FF3" w:rsidRDefault="00456EBF" w:rsidP="00456EBF">
      <w:pPr>
        <w:rPr>
          <w:sz w:val="24"/>
          <w:szCs w:val="24"/>
        </w:rPr>
      </w:pPr>
      <w:r w:rsidRPr="00DC0FF3">
        <w:rPr>
          <w:sz w:val="24"/>
          <w:szCs w:val="24"/>
        </w:rPr>
        <w:t>The group is asked to discuss and endorse the following proposals.</w:t>
      </w:r>
    </w:p>
    <w:p w14:paraId="4C54DE76" w14:textId="77777777" w:rsidR="004850D9" w:rsidRPr="004850D9" w:rsidRDefault="004850D9" w:rsidP="004850D9">
      <w:pPr>
        <w:pStyle w:val="Heading2"/>
        <w:rPr>
          <w:b/>
          <w:bCs/>
          <w:lang w:eastAsia="en-GB"/>
        </w:rPr>
      </w:pPr>
      <w:r w:rsidRPr="004850D9">
        <w:rPr>
          <w:b/>
          <w:bCs/>
          <w:lang w:eastAsia="en-GB"/>
        </w:rPr>
        <w:t>Proposal 1</w:t>
      </w:r>
    </w:p>
    <w:p w14:paraId="6EE73346" w14:textId="04E6F031" w:rsidR="004850D9" w:rsidRPr="00DC0FF3" w:rsidRDefault="004850D9" w:rsidP="0009474D">
      <w:pPr>
        <w:spacing w:before="100" w:beforeAutospacing="1" w:after="100" w:afterAutospacing="1"/>
        <w:rPr>
          <w:rFonts w:eastAsia="Times New Roman"/>
          <w:sz w:val="24"/>
          <w:szCs w:val="24"/>
          <w:lang w:eastAsia="en-GB"/>
        </w:rPr>
      </w:pPr>
      <w:r w:rsidRPr="00DC0FF3">
        <w:rPr>
          <w:rFonts w:eastAsia="Times New Roman"/>
          <w:sz w:val="24"/>
          <w:szCs w:val="24"/>
          <w:lang w:eastAsia="en-GB"/>
        </w:rPr>
        <w:t>Approve the associated Change Request</w:t>
      </w:r>
      <w:r w:rsidR="002B78D2" w:rsidRPr="00DC0FF3">
        <w:rPr>
          <w:rFonts w:eastAsia="Times New Roman"/>
          <w:sz w:val="24"/>
          <w:szCs w:val="24"/>
          <w:lang w:eastAsia="en-GB"/>
        </w:rPr>
        <w:t>s</w:t>
      </w:r>
      <w:r w:rsidRPr="00DC0FF3">
        <w:rPr>
          <w:rFonts w:eastAsia="Times New Roman"/>
          <w:sz w:val="24"/>
          <w:szCs w:val="24"/>
          <w:lang w:eastAsia="en-GB"/>
        </w:rPr>
        <w:t xml:space="preserve"> </w:t>
      </w:r>
      <w:r w:rsidR="00BA5192" w:rsidRPr="00DC0FF3">
        <w:rPr>
          <w:rFonts w:eastAsia="Times New Roman"/>
          <w:sz w:val="24"/>
          <w:szCs w:val="24"/>
          <w:lang w:eastAsia="en-GB"/>
        </w:rPr>
        <w:t>in S5-25</w:t>
      </w:r>
      <w:r w:rsidR="00456EBF" w:rsidRPr="00DC0FF3">
        <w:rPr>
          <w:rFonts w:eastAsia="Times New Roman"/>
          <w:sz w:val="24"/>
          <w:szCs w:val="24"/>
          <w:lang w:eastAsia="en-GB"/>
        </w:rPr>
        <w:t>3322</w:t>
      </w:r>
      <w:r w:rsidR="00BA5192" w:rsidRPr="00DC0FF3">
        <w:rPr>
          <w:rFonts w:eastAsia="Times New Roman"/>
          <w:sz w:val="24"/>
          <w:szCs w:val="24"/>
          <w:lang w:eastAsia="en-GB"/>
        </w:rPr>
        <w:t xml:space="preserve"> [4]</w:t>
      </w:r>
      <w:r w:rsidR="002B78D2" w:rsidRPr="00DC0FF3">
        <w:rPr>
          <w:rFonts w:eastAsia="Times New Roman"/>
          <w:sz w:val="24"/>
          <w:szCs w:val="24"/>
          <w:lang w:eastAsia="en-GB"/>
        </w:rPr>
        <w:t xml:space="preserve"> and S5-25</w:t>
      </w:r>
      <w:r w:rsidR="00456EBF" w:rsidRPr="00DC0FF3">
        <w:rPr>
          <w:rFonts w:eastAsia="Times New Roman"/>
          <w:sz w:val="24"/>
          <w:szCs w:val="24"/>
          <w:lang w:eastAsia="en-GB"/>
        </w:rPr>
        <w:t>3323</w:t>
      </w:r>
      <w:r w:rsidR="002B78D2" w:rsidRPr="00DC0FF3">
        <w:rPr>
          <w:rFonts w:eastAsia="Times New Roman"/>
          <w:sz w:val="24"/>
          <w:szCs w:val="24"/>
          <w:lang w:eastAsia="en-GB"/>
        </w:rPr>
        <w:t xml:space="preserve"> [5]</w:t>
      </w:r>
      <w:r w:rsidR="00BA5192" w:rsidRPr="00DC0FF3">
        <w:rPr>
          <w:rFonts w:eastAsia="Times New Roman"/>
          <w:sz w:val="24"/>
          <w:szCs w:val="24"/>
          <w:lang w:eastAsia="en-GB"/>
        </w:rPr>
        <w:t xml:space="preserve"> </w:t>
      </w:r>
      <w:r w:rsidRPr="00DC0FF3">
        <w:rPr>
          <w:rFonts w:eastAsia="Times New Roman"/>
          <w:sz w:val="24"/>
          <w:szCs w:val="24"/>
          <w:lang w:eastAsia="en-GB"/>
        </w:rPr>
        <w:t xml:space="preserve">to add </w:t>
      </w:r>
      <w:r w:rsidR="00572CF8" w:rsidRPr="00DC0FF3">
        <w:rPr>
          <w:rFonts w:eastAsia="Times New Roman"/>
          <w:sz w:val="24"/>
          <w:szCs w:val="24"/>
          <w:lang w:eastAsia="en-GB"/>
        </w:rPr>
        <w:t>the streamlined</w:t>
      </w:r>
      <w:r w:rsidRPr="00DC0FF3">
        <w:rPr>
          <w:rFonts w:eastAsia="Times New Roman"/>
          <w:sz w:val="24"/>
          <w:szCs w:val="24"/>
          <w:lang w:eastAsia="en-GB"/>
        </w:rPr>
        <w:t xml:space="preserve"> </w:t>
      </w:r>
      <w:r w:rsidR="006C1946" w:rsidRPr="00DC0FF3">
        <w:rPr>
          <w:rFonts w:eastAsia="Times New Roman"/>
          <w:sz w:val="24"/>
          <w:szCs w:val="24"/>
          <w:lang w:eastAsia="en-GB"/>
        </w:rPr>
        <w:t xml:space="preserve">baseline </w:t>
      </w:r>
      <w:r w:rsidRPr="00DC0FF3">
        <w:rPr>
          <w:rFonts w:eastAsia="Times New Roman"/>
          <w:sz w:val="24"/>
          <w:szCs w:val="24"/>
          <w:lang w:eastAsia="en-GB"/>
        </w:rPr>
        <w:t xml:space="preserve">reference </w:t>
      </w:r>
      <w:r w:rsidR="00572CF8" w:rsidRPr="00DC0FF3">
        <w:rPr>
          <w:rFonts w:eastAsia="Times New Roman"/>
          <w:sz w:val="24"/>
          <w:szCs w:val="24"/>
          <w:lang w:eastAsia="en-GB"/>
        </w:rPr>
        <w:t>architecture to</w:t>
      </w:r>
      <w:r w:rsidRPr="00DC0FF3">
        <w:rPr>
          <w:rFonts w:eastAsia="Times New Roman"/>
          <w:sz w:val="24"/>
          <w:szCs w:val="24"/>
          <w:lang w:eastAsia="en-GB"/>
        </w:rPr>
        <w:t xml:space="preserve"> TS 28.533</w:t>
      </w:r>
      <w:r w:rsidR="00FA237B" w:rsidRPr="00DC0FF3">
        <w:rPr>
          <w:rFonts w:eastAsia="Times New Roman"/>
          <w:sz w:val="24"/>
          <w:szCs w:val="24"/>
          <w:lang w:eastAsia="en-GB"/>
        </w:rPr>
        <w:t xml:space="preserve"> as a foundation for Rel-19</w:t>
      </w:r>
      <w:r w:rsidRPr="00DC0FF3">
        <w:rPr>
          <w:rFonts w:eastAsia="Times New Roman"/>
          <w:sz w:val="24"/>
          <w:szCs w:val="24"/>
          <w:lang w:eastAsia="en-GB"/>
        </w:rPr>
        <w:t>.</w:t>
      </w:r>
    </w:p>
    <w:p w14:paraId="618F895F" w14:textId="77777777" w:rsidR="004850D9" w:rsidRPr="004850D9" w:rsidRDefault="004850D9" w:rsidP="004850D9">
      <w:pPr>
        <w:pStyle w:val="Heading2"/>
        <w:rPr>
          <w:b/>
          <w:bCs/>
          <w:lang w:eastAsia="en-GB"/>
        </w:rPr>
      </w:pPr>
      <w:r w:rsidRPr="004850D9">
        <w:rPr>
          <w:b/>
          <w:bCs/>
          <w:lang w:eastAsia="en-GB"/>
        </w:rPr>
        <w:t>Proposal 2</w:t>
      </w:r>
    </w:p>
    <w:p w14:paraId="5A95FEDE" w14:textId="619FFEEF" w:rsidR="004850D9" w:rsidRPr="00DC0FF3" w:rsidRDefault="004850D9" w:rsidP="00007FED">
      <w:pPr>
        <w:numPr>
          <w:ilvl w:val="0"/>
          <w:numId w:val="13"/>
        </w:numPr>
        <w:spacing w:before="100" w:beforeAutospacing="1" w:after="100" w:afterAutospacing="1"/>
        <w:rPr>
          <w:rFonts w:eastAsia="Times New Roman"/>
          <w:sz w:val="24"/>
          <w:szCs w:val="24"/>
          <w:lang w:eastAsia="en-GB"/>
        </w:rPr>
      </w:pPr>
      <w:r w:rsidRPr="00DC0FF3">
        <w:rPr>
          <w:rFonts w:eastAsia="Times New Roman"/>
          <w:sz w:val="24"/>
          <w:szCs w:val="24"/>
          <w:lang w:eastAsia="en-GB"/>
        </w:rPr>
        <w:t xml:space="preserve">Use the approved Rel-19 baseline </w:t>
      </w:r>
      <w:r w:rsidR="009472C7" w:rsidRPr="00DC0FF3">
        <w:rPr>
          <w:rFonts w:eastAsia="Times New Roman"/>
          <w:sz w:val="24"/>
          <w:szCs w:val="24"/>
          <w:lang w:eastAsia="en-GB"/>
        </w:rPr>
        <w:t>reference architecture as a common foundation to guide future discussions and maintain architectural alignment across 3GPP, particularly as other Working Groups begin exploring new functional entities and control concepts in the context of 5G Advanced and 6G.</w:t>
      </w:r>
    </w:p>
    <w:p w14:paraId="19C6C75F" w14:textId="3D0DE5B9" w:rsidR="009472C7" w:rsidRPr="00DC0FF3" w:rsidRDefault="005201C7" w:rsidP="00007FED">
      <w:pPr>
        <w:pStyle w:val="ListParagraph"/>
        <w:numPr>
          <w:ilvl w:val="0"/>
          <w:numId w:val="13"/>
        </w:numPr>
        <w:spacing w:before="100" w:beforeAutospacing="1" w:after="100" w:afterAutospacing="1"/>
        <w:rPr>
          <w:rFonts w:eastAsia="Times New Roman"/>
          <w:sz w:val="24"/>
          <w:szCs w:val="24"/>
          <w:lang w:eastAsia="en-GB"/>
        </w:rPr>
      </w:pPr>
      <w:r w:rsidRPr="00DC0FF3">
        <w:rPr>
          <w:rFonts w:eastAsia="Times New Roman"/>
          <w:sz w:val="24"/>
          <w:szCs w:val="24"/>
          <w:lang w:eastAsia="en-GB"/>
        </w:rPr>
        <w:lastRenderedPageBreak/>
        <w:t xml:space="preserve">Establish </w:t>
      </w:r>
      <w:r w:rsidR="00DF53BB" w:rsidRPr="00DC0FF3">
        <w:rPr>
          <w:rFonts w:eastAsia="Times New Roman"/>
          <w:sz w:val="24"/>
          <w:szCs w:val="24"/>
          <w:lang w:eastAsia="en-GB"/>
        </w:rPr>
        <w:t xml:space="preserve">timely and </w:t>
      </w:r>
      <w:r w:rsidRPr="00DC0FF3">
        <w:rPr>
          <w:rFonts w:eastAsia="Times New Roman"/>
          <w:sz w:val="24"/>
          <w:szCs w:val="24"/>
          <w:lang w:eastAsia="en-GB"/>
        </w:rPr>
        <w:t>proactive collaboration with relevant WGs to ensure that management and orchestration functionalities are developed only within SA5’s scope and aligned consistently with the SA5 reference model, thereby preventing fragmentation or duplication.</w:t>
      </w:r>
    </w:p>
    <w:p w14:paraId="79DB4CAB" w14:textId="08581CEB" w:rsidR="009472C7" w:rsidRPr="00DC0FF3" w:rsidRDefault="009472C7" w:rsidP="00007FED">
      <w:pPr>
        <w:pStyle w:val="ListParagraph"/>
        <w:numPr>
          <w:ilvl w:val="0"/>
          <w:numId w:val="13"/>
        </w:numPr>
        <w:spacing w:before="100" w:beforeAutospacing="1" w:after="100" w:afterAutospacing="1"/>
        <w:rPr>
          <w:rFonts w:eastAsia="Times New Roman"/>
          <w:sz w:val="24"/>
          <w:szCs w:val="24"/>
          <w:lang w:eastAsia="en-GB"/>
        </w:rPr>
      </w:pPr>
      <w:r w:rsidRPr="00DC0FF3">
        <w:rPr>
          <w:rFonts w:eastAsia="Times New Roman"/>
          <w:sz w:val="24"/>
          <w:szCs w:val="24"/>
          <w:lang w:eastAsia="en-GB"/>
        </w:rPr>
        <w:t xml:space="preserve">Continue evolving the architecture in Rel-20 and beyond, within SA5 and in coordination with </w:t>
      </w:r>
      <w:r w:rsidR="00DF53BB" w:rsidRPr="00DC0FF3">
        <w:rPr>
          <w:rFonts w:eastAsia="Times New Roman"/>
          <w:sz w:val="24"/>
          <w:szCs w:val="24"/>
          <w:lang w:eastAsia="en-GB"/>
        </w:rPr>
        <w:t xml:space="preserve">other WGs and </w:t>
      </w:r>
      <w:r w:rsidRPr="00DC0FF3">
        <w:rPr>
          <w:rFonts w:eastAsia="Times New Roman"/>
          <w:sz w:val="24"/>
          <w:szCs w:val="24"/>
          <w:lang w:eastAsia="en-GB"/>
        </w:rPr>
        <w:t>external SDOs, to support new requirements such as AI/ML integration, autonomy, and cross-domain orchestration</w:t>
      </w:r>
      <w:r w:rsidR="005201C7" w:rsidRPr="00DC0FF3">
        <w:rPr>
          <w:rFonts w:eastAsia="Times New Roman"/>
          <w:sz w:val="24"/>
          <w:szCs w:val="24"/>
          <w:lang w:eastAsia="en-GB"/>
        </w:rPr>
        <w:t xml:space="preserve">; </w:t>
      </w:r>
      <w:r w:rsidRPr="00DC0FF3">
        <w:rPr>
          <w:rFonts w:eastAsia="Times New Roman"/>
          <w:sz w:val="24"/>
          <w:szCs w:val="24"/>
          <w:lang w:eastAsia="en-GB"/>
        </w:rPr>
        <w:t>all based on a shared, SA5-defined architectural baseline.</w:t>
      </w:r>
    </w:p>
    <w:p w14:paraId="4CF35478" w14:textId="0EBD7E15" w:rsidR="004850D9" w:rsidRPr="00DC0FF3" w:rsidRDefault="004850D9" w:rsidP="004850D9">
      <w:pPr>
        <w:spacing w:after="0"/>
        <w:rPr>
          <w:rFonts w:eastAsia="Times New Roman"/>
          <w:sz w:val="24"/>
          <w:szCs w:val="24"/>
          <w:lang w:eastAsia="en-GB"/>
        </w:rPr>
      </w:pPr>
    </w:p>
    <w:sectPr w:rsidR="004850D9" w:rsidRPr="00DC0FF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D088D" w14:textId="77777777" w:rsidR="00545D5B" w:rsidRDefault="00545D5B">
      <w:r>
        <w:separator/>
      </w:r>
    </w:p>
  </w:endnote>
  <w:endnote w:type="continuationSeparator" w:id="0">
    <w:p w14:paraId="719D90AF" w14:textId="77777777" w:rsidR="00545D5B" w:rsidRDefault="0054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7DA05" w14:textId="77777777" w:rsidR="00545D5B" w:rsidRDefault="00545D5B">
      <w:r>
        <w:separator/>
      </w:r>
    </w:p>
  </w:footnote>
  <w:footnote w:type="continuationSeparator" w:id="0">
    <w:p w14:paraId="76444796" w14:textId="77777777" w:rsidR="00545D5B" w:rsidRDefault="00545D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C5E1F12"/>
    <w:multiLevelType w:val="multilevel"/>
    <w:tmpl w:val="E2209D56"/>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865D0"/>
    <w:multiLevelType w:val="multilevel"/>
    <w:tmpl w:val="30C460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06519D"/>
    <w:multiLevelType w:val="multilevel"/>
    <w:tmpl w:val="62E6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9038E6"/>
    <w:multiLevelType w:val="multilevel"/>
    <w:tmpl w:val="38BE227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956EC"/>
    <w:multiLevelType w:val="multilevel"/>
    <w:tmpl w:val="E31A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D87396"/>
    <w:multiLevelType w:val="multilevel"/>
    <w:tmpl w:val="C0AE8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125E64"/>
    <w:multiLevelType w:val="multilevel"/>
    <w:tmpl w:val="F2ECF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4A01CD"/>
    <w:multiLevelType w:val="multilevel"/>
    <w:tmpl w:val="9ABED91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C86BAF"/>
    <w:multiLevelType w:val="multilevel"/>
    <w:tmpl w:val="D9DC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6830C1"/>
    <w:multiLevelType w:val="multilevel"/>
    <w:tmpl w:val="2686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766102"/>
    <w:multiLevelType w:val="multilevel"/>
    <w:tmpl w:val="B42ECE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3808178">
    <w:abstractNumId w:val="2"/>
  </w:num>
  <w:num w:numId="2" w16cid:durableId="1575045729">
    <w:abstractNumId w:val="1"/>
  </w:num>
  <w:num w:numId="3" w16cid:durableId="531846026">
    <w:abstractNumId w:val="0"/>
  </w:num>
  <w:num w:numId="4" w16cid:durableId="1503544858">
    <w:abstractNumId w:val="5"/>
  </w:num>
  <w:num w:numId="5" w16cid:durableId="1097555658">
    <w:abstractNumId w:val="7"/>
  </w:num>
  <w:num w:numId="6" w16cid:durableId="1851555070">
    <w:abstractNumId w:val="9"/>
  </w:num>
  <w:num w:numId="7" w16cid:durableId="1584996759">
    <w:abstractNumId w:val="11"/>
  </w:num>
  <w:num w:numId="8" w16cid:durableId="2117483401">
    <w:abstractNumId w:val="12"/>
  </w:num>
  <w:num w:numId="9" w16cid:durableId="757288279">
    <w:abstractNumId w:val="10"/>
  </w:num>
  <w:num w:numId="10" w16cid:durableId="1011032709">
    <w:abstractNumId w:val="13"/>
  </w:num>
  <w:num w:numId="11" w16cid:durableId="461576970">
    <w:abstractNumId w:val="4"/>
  </w:num>
  <w:num w:numId="12" w16cid:durableId="521671681">
    <w:abstractNumId w:val="6"/>
  </w:num>
  <w:num w:numId="13" w16cid:durableId="736632366">
    <w:abstractNumId w:val="3"/>
  </w:num>
  <w:num w:numId="14" w16cid:durableId="4906835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07FED"/>
    <w:rsid w:val="00010CE9"/>
    <w:rsid w:val="00012515"/>
    <w:rsid w:val="00020D19"/>
    <w:rsid w:val="000230A3"/>
    <w:rsid w:val="00033AA1"/>
    <w:rsid w:val="00046389"/>
    <w:rsid w:val="0006222D"/>
    <w:rsid w:val="000636B8"/>
    <w:rsid w:val="00064A58"/>
    <w:rsid w:val="00074722"/>
    <w:rsid w:val="0008055C"/>
    <w:rsid w:val="0008083D"/>
    <w:rsid w:val="000819D8"/>
    <w:rsid w:val="00085D0B"/>
    <w:rsid w:val="00086FC9"/>
    <w:rsid w:val="000934A6"/>
    <w:rsid w:val="0009474D"/>
    <w:rsid w:val="000A2C6C"/>
    <w:rsid w:val="000A4660"/>
    <w:rsid w:val="000A7E96"/>
    <w:rsid w:val="000B5178"/>
    <w:rsid w:val="000C63A7"/>
    <w:rsid w:val="000D1B5B"/>
    <w:rsid w:val="000D7C03"/>
    <w:rsid w:val="000E26E4"/>
    <w:rsid w:val="000E2B66"/>
    <w:rsid w:val="000E626A"/>
    <w:rsid w:val="000F131F"/>
    <w:rsid w:val="000F1FD8"/>
    <w:rsid w:val="000F53DE"/>
    <w:rsid w:val="0010401F"/>
    <w:rsid w:val="00112FC3"/>
    <w:rsid w:val="00113542"/>
    <w:rsid w:val="00126EC5"/>
    <w:rsid w:val="001276CF"/>
    <w:rsid w:val="001343B4"/>
    <w:rsid w:val="00135C16"/>
    <w:rsid w:val="00147E06"/>
    <w:rsid w:val="00162676"/>
    <w:rsid w:val="00164D39"/>
    <w:rsid w:val="00173FA3"/>
    <w:rsid w:val="00184B6F"/>
    <w:rsid w:val="001861E5"/>
    <w:rsid w:val="00193CF1"/>
    <w:rsid w:val="001969DA"/>
    <w:rsid w:val="00197930"/>
    <w:rsid w:val="001A1494"/>
    <w:rsid w:val="001A21C8"/>
    <w:rsid w:val="001A5158"/>
    <w:rsid w:val="001B09D9"/>
    <w:rsid w:val="001B1652"/>
    <w:rsid w:val="001B7E56"/>
    <w:rsid w:val="001C2062"/>
    <w:rsid w:val="001C3EC8"/>
    <w:rsid w:val="001C41E0"/>
    <w:rsid w:val="001C7FB2"/>
    <w:rsid w:val="001D0F00"/>
    <w:rsid w:val="001D21ED"/>
    <w:rsid w:val="001D2BD4"/>
    <w:rsid w:val="001D4258"/>
    <w:rsid w:val="001D6911"/>
    <w:rsid w:val="001E3A94"/>
    <w:rsid w:val="001E4833"/>
    <w:rsid w:val="001F6A38"/>
    <w:rsid w:val="00201947"/>
    <w:rsid w:val="0020205E"/>
    <w:rsid w:val="0020395B"/>
    <w:rsid w:val="002046CB"/>
    <w:rsid w:val="00204DC9"/>
    <w:rsid w:val="002062C0"/>
    <w:rsid w:val="00206353"/>
    <w:rsid w:val="0020782E"/>
    <w:rsid w:val="00212C47"/>
    <w:rsid w:val="00215130"/>
    <w:rsid w:val="00230002"/>
    <w:rsid w:val="00233A8B"/>
    <w:rsid w:val="00244C9A"/>
    <w:rsid w:val="00246F80"/>
    <w:rsid w:val="00247216"/>
    <w:rsid w:val="00266700"/>
    <w:rsid w:val="00270486"/>
    <w:rsid w:val="00274477"/>
    <w:rsid w:val="00275B74"/>
    <w:rsid w:val="0028222E"/>
    <w:rsid w:val="0028270D"/>
    <w:rsid w:val="00283B65"/>
    <w:rsid w:val="00287E7C"/>
    <w:rsid w:val="002A1857"/>
    <w:rsid w:val="002B035E"/>
    <w:rsid w:val="002B78D2"/>
    <w:rsid w:val="002C7F38"/>
    <w:rsid w:val="002D4482"/>
    <w:rsid w:val="002D45F1"/>
    <w:rsid w:val="0030628A"/>
    <w:rsid w:val="003207E0"/>
    <w:rsid w:val="003333E1"/>
    <w:rsid w:val="00334486"/>
    <w:rsid w:val="0035122B"/>
    <w:rsid w:val="00353451"/>
    <w:rsid w:val="003612BE"/>
    <w:rsid w:val="00365672"/>
    <w:rsid w:val="00371032"/>
    <w:rsid w:val="00371B44"/>
    <w:rsid w:val="00396F3C"/>
    <w:rsid w:val="003A717F"/>
    <w:rsid w:val="003C122B"/>
    <w:rsid w:val="003C4713"/>
    <w:rsid w:val="003C4788"/>
    <w:rsid w:val="003C5A97"/>
    <w:rsid w:val="003C7A04"/>
    <w:rsid w:val="003D31B3"/>
    <w:rsid w:val="003D546B"/>
    <w:rsid w:val="003E0B65"/>
    <w:rsid w:val="003E3D88"/>
    <w:rsid w:val="003E42C0"/>
    <w:rsid w:val="003F52B2"/>
    <w:rsid w:val="003F6483"/>
    <w:rsid w:val="0040096C"/>
    <w:rsid w:val="00401FF7"/>
    <w:rsid w:val="0041632F"/>
    <w:rsid w:val="00417759"/>
    <w:rsid w:val="00424E78"/>
    <w:rsid w:val="00440414"/>
    <w:rsid w:val="00443013"/>
    <w:rsid w:val="004558E9"/>
    <w:rsid w:val="00456EBF"/>
    <w:rsid w:val="0045777E"/>
    <w:rsid w:val="00483BCB"/>
    <w:rsid w:val="0048474C"/>
    <w:rsid w:val="004850D9"/>
    <w:rsid w:val="00492E8B"/>
    <w:rsid w:val="004B3753"/>
    <w:rsid w:val="004B3FEA"/>
    <w:rsid w:val="004B514A"/>
    <w:rsid w:val="004C31D2"/>
    <w:rsid w:val="004C6CFB"/>
    <w:rsid w:val="004D55C2"/>
    <w:rsid w:val="004F0E5C"/>
    <w:rsid w:val="004F58D4"/>
    <w:rsid w:val="004F5A0A"/>
    <w:rsid w:val="004F73A8"/>
    <w:rsid w:val="0050435B"/>
    <w:rsid w:val="0050521F"/>
    <w:rsid w:val="00512A5C"/>
    <w:rsid w:val="005201C7"/>
    <w:rsid w:val="00521131"/>
    <w:rsid w:val="00527C0B"/>
    <w:rsid w:val="005303AF"/>
    <w:rsid w:val="0054038E"/>
    <w:rsid w:val="005410F6"/>
    <w:rsid w:val="00543770"/>
    <w:rsid w:val="00545D5B"/>
    <w:rsid w:val="005466E9"/>
    <w:rsid w:val="0054774D"/>
    <w:rsid w:val="00551EB7"/>
    <w:rsid w:val="0055412D"/>
    <w:rsid w:val="005616F3"/>
    <w:rsid w:val="00571EDF"/>
    <w:rsid w:val="005729C4"/>
    <w:rsid w:val="00572CF8"/>
    <w:rsid w:val="00577BC6"/>
    <w:rsid w:val="0059227B"/>
    <w:rsid w:val="005A368D"/>
    <w:rsid w:val="005B0966"/>
    <w:rsid w:val="005B795D"/>
    <w:rsid w:val="005E3497"/>
    <w:rsid w:val="005E41E1"/>
    <w:rsid w:val="005E4A6A"/>
    <w:rsid w:val="005E4D19"/>
    <w:rsid w:val="0060477B"/>
    <w:rsid w:val="00610508"/>
    <w:rsid w:val="00613820"/>
    <w:rsid w:val="006215CF"/>
    <w:rsid w:val="00626A36"/>
    <w:rsid w:val="00630609"/>
    <w:rsid w:val="00645C90"/>
    <w:rsid w:val="00650182"/>
    <w:rsid w:val="00652248"/>
    <w:rsid w:val="00657B80"/>
    <w:rsid w:val="006723EC"/>
    <w:rsid w:val="00675B3C"/>
    <w:rsid w:val="0068253B"/>
    <w:rsid w:val="00682EAB"/>
    <w:rsid w:val="0068690C"/>
    <w:rsid w:val="0069495C"/>
    <w:rsid w:val="006A07E3"/>
    <w:rsid w:val="006B2BB4"/>
    <w:rsid w:val="006C0C9C"/>
    <w:rsid w:val="006C191A"/>
    <w:rsid w:val="006C1946"/>
    <w:rsid w:val="006D340A"/>
    <w:rsid w:val="006D617A"/>
    <w:rsid w:val="006E25C4"/>
    <w:rsid w:val="006F77B7"/>
    <w:rsid w:val="007077E2"/>
    <w:rsid w:val="00715A1D"/>
    <w:rsid w:val="00735C8C"/>
    <w:rsid w:val="0076053D"/>
    <w:rsid w:val="00760BB0"/>
    <w:rsid w:val="0076157A"/>
    <w:rsid w:val="00784593"/>
    <w:rsid w:val="007A00EF"/>
    <w:rsid w:val="007B0B06"/>
    <w:rsid w:val="007B19EA"/>
    <w:rsid w:val="007B4CE4"/>
    <w:rsid w:val="007C0A2D"/>
    <w:rsid w:val="007C112A"/>
    <w:rsid w:val="007C27B0"/>
    <w:rsid w:val="007D2A37"/>
    <w:rsid w:val="007D5542"/>
    <w:rsid w:val="007E2361"/>
    <w:rsid w:val="007F300B"/>
    <w:rsid w:val="007F34E0"/>
    <w:rsid w:val="008014C3"/>
    <w:rsid w:val="00812587"/>
    <w:rsid w:val="00843C3D"/>
    <w:rsid w:val="00847EE7"/>
    <w:rsid w:val="00850812"/>
    <w:rsid w:val="00871791"/>
    <w:rsid w:val="00876B9A"/>
    <w:rsid w:val="00886CBD"/>
    <w:rsid w:val="008933BF"/>
    <w:rsid w:val="00895229"/>
    <w:rsid w:val="00897A78"/>
    <w:rsid w:val="008A10C4"/>
    <w:rsid w:val="008A18F1"/>
    <w:rsid w:val="008B0248"/>
    <w:rsid w:val="008B1C81"/>
    <w:rsid w:val="008D1090"/>
    <w:rsid w:val="008D191D"/>
    <w:rsid w:val="008D4BDB"/>
    <w:rsid w:val="008E2175"/>
    <w:rsid w:val="008F5F33"/>
    <w:rsid w:val="0091046A"/>
    <w:rsid w:val="00921EE5"/>
    <w:rsid w:val="00922357"/>
    <w:rsid w:val="00923AE1"/>
    <w:rsid w:val="00924155"/>
    <w:rsid w:val="00924C92"/>
    <w:rsid w:val="0092640B"/>
    <w:rsid w:val="00926ABD"/>
    <w:rsid w:val="00926D4F"/>
    <w:rsid w:val="009368F5"/>
    <w:rsid w:val="009472C7"/>
    <w:rsid w:val="00947F4E"/>
    <w:rsid w:val="009501F7"/>
    <w:rsid w:val="00953ED1"/>
    <w:rsid w:val="00966D47"/>
    <w:rsid w:val="00992312"/>
    <w:rsid w:val="009A45F7"/>
    <w:rsid w:val="009B476D"/>
    <w:rsid w:val="009B5445"/>
    <w:rsid w:val="009C0DED"/>
    <w:rsid w:val="009C3D29"/>
    <w:rsid w:val="009D317A"/>
    <w:rsid w:val="009D53AD"/>
    <w:rsid w:val="00A004B4"/>
    <w:rsid w:val="00A0359E"/>
    <w:rsid w:val="00A117D5"/>
    <w:rsid w:val="00A130C8"/>
    <w:rsid w:val="00A163E8"/>
    <w:rsid w:val="00A20ED6"/>
    <w:rsid w:val="00A37D7F"/>
    <w:rsid w:val="00A46410"/>
    <w:rsid w:val="00A46915"/>
    <w:rsid w:val="00A57688"/>
    <w:rsid w:val="00A6313B"/>
    <w:rsid w:val="00A74FDE"/>
    <w:rsid w:val="00A842E9"/>
    <w:rsid w:val="00A84A94"/>
    <w:rsid w:val="00A857AA"/>
    <w:rsid w:val="00AA287D"/>
    <w:rsid w:val="00AA4F1D"/>
    <w:rsid w:val="00AA5419"/>
    <w:rsid w:val="00AD02C0"/>
    <w:rsid w:val="00AD1DAA"/>
    <w:rsid w:val="00AE228B"/>
    <w:rsid w:val="00AE3A5C"/>
    <w:rsid w:val="00AF1E23"/>
    <w:rsid w:val="00AF7F81"/>
    <w:rsid w:val="00B01AFF"/>
    <w:rsid w:val="00B03CB5"/>
    <w:rsid w:val="00B05CC7"/>
    <w:rsid w:val="00B07204"/>
    <w:rsid w:val="00B077DA"/>
    <w:rsid w:val="00B16BBD"/>
    <w:rsid w:val="00B27E39"/>
    <w:rsid w:val="00B32335"/>
    <w:rsid w:val="00B350D8"/>
    <w:rsid w:val="00B37E41"/>
    <w:rsid w:val="00B76763"/>
    <w:rsid w:val="00B7732B"/>
    <w:rsid w:val="00B879D3"/>
    <w:rsid w:val="00B879F0"/>
    <w:rsid w:val="00B962C8"/>
    <w:rsid w:val="00BA2985"/>
    <w:rsid w:val="00BA3D72"/>
    <w:rsid w:val="00BA47FC"/>
    <w:rsid w:val="00BA4F56"/>
    <w:rsid w:val="00BA5192"/>
    <w:rsid w:val="00BB2B3C"/>
    <w:rsid w:val="00BB306A"/>
    <w:rsid w:val="00BB625D"/>
    <w:rsid w:val="00BC25AA"/>
    <w:rsid w:val="00BC60E3"/>
    <w:rsid w:val="00BD3B1B"/>
    <w:rsid w:val="00BD3BC4"/>
    <w:rsid w:val="00BF682E"/>
    <w:rsid w:val="00BF7E63"/>
    <w:rsid w:val="00C022E3"/>
    <w:rsid w:val="00C22D17"/>
    <w:rsid w:val="00C26BB2"/>
    <w:rsid w:val="00C30C26"/>
    <w:rsid w:val="00C403CD"/>
    <w:rsid w:val="00C4095A"/>
    <w:rsid w:val="00C44EA2"/>
    <w:rsid w:val="00C4712D"/>
    <w:rsid w:val="00C555C9"/>
    <w:rsid w:val="00C738F3"/>
    <w:rsid w:val="00C875DA"/>
    <w:rsid w:val="00C94F55"/>
    <w:rsid w:val="00CA4558"/>
    <w:rsid w:val="00CA7D62"/>
    <w:rsid w:val="00CB07A8"/>
    <w:rsid w:val="00CD4A57"/>
    <w:rsid w:val="00CE4822"/>
    <w:rsid w:val="00CF630C"/>
    <w:rsid w:val="00D01769"/>
    <w:rsid w:val="00D146F1"/>
    <w:rsid w:val="00D264C4"/>
    <w:rsid w:val="00D33604"/>
    <w:rsid w:val="00D35C18"/>
    <w:rsid w:val="00D366C4"/>
    <w:rsid w:val="00D37460"/>
    <w:rsid w:val="00D37B08"/>
    <w:rsid w:val="00D437FF"/>
    <w:rsid w:val="00D4572C"/>
    <w:rsid w:val="00D512DA"/>
    <w:rsid w:val="00D5130C"/>
    <w:rsid w:val="00D569A7"/>
    <w:rsid w:val="00D62265"/>
    <w:rsid w:val="00D644DE"/>
    <w:rsid w:val="00D70DDC"/>
    <w:rsid w:val="00D73770"/>
    <w:rsid w:val="00D8512E"/>
    <w:rsid w:val="00D9653C"/>
    <w:rsid w:val="00DA1E58"/>
    <w:rsid w:val="00DA5FFF"/>
    <w:rsid w:val="00DA757E"/>
    <w:rsid w:val="00DB6462"/>
    <w:rsid w:val="00DB75B8"/>
    <w:rsid w:val="00DC0FF3"/>
    <w:rsid w:val="00DC1055"/>
    <w:rsid w:val="00DC1396"/>
    <w:rsid w:val="00DD1B3C"/>
    <w:rsid w:val="00DE0B47"/>
    <w:rsid w:val="00DE4EF2"/>
    <w:rsid w:val="00DF0F93"/>
    <w:rsid w:val="00DF2C0E"/>
    <w:rsid w:val="00DF53BB"/>
    <w:rsid w:val="00E02ABB"/>
    <w:rsid w:val="00E04DB6"/>
    <w:rsid w:val="00E06FFB"/>
    <w:rsid w:val="00E30155"/>
    <w:rsid w:val="00E30960"/>
    <w:rsid w:val="00E36913"/>
    <w:rsid w:val="00E44241"/>
    <w:rsid w:val="00E57ED1"/>
    <w:rsid w:val="00E6415B"/>
    <w:rsid w:val="00E67ABE"/>
    <w:rsid w:val="00E74C2B"/>
    <w:rsid w:val="00E82D8D"/>
    <w:rsid w:val="00E9134F"/>
    <w:rsid w:val="00E91FE1"/>
    <w:rsid w:val="00EA5E95"/>
    <w:rsid w:val="00EC36E9"/>
    <w:rsid w:val="00ED4954"/>
    <w:rsid w:val="00ED5A43"/>
    <w:rsid w:val="00EE0943"/>
    <w:rsid w:val="00EE33A2"/>
    <w:rsid w:val="00F00686"/>
    <w:rsid w:val="00F078F7"/>
    <w:rsid w:val="00F132F3"/>
    <w:rsid w:val="00F22E6D"/>
    <w:rsid w:val="00F440B8"/>
    <w:rsid w:val="00F526B6"/>
    <w:rsid w:val="00F67A1C"/>
    <w:rsid w:val="00F7493F"/>
    <w:rsid w:val="00F82C5B"/>
    <w:rsid w:val="00F85325"/>
    <w:rsid w:val="00F8555F"/>
    <w:rsid w:val="00FA237B"/>
    <w:rsid w:val="00FA41B1"/>
    <w:rsid w:val="00FB0B3F"/>
    <w:rsid w:val="00FB3E36"/>
    <w:rsid w:val="00FD701E"/>
    <w:rsid w:val="00FE0DB7"/>
    <w:rsid w:val="00FE6F70"/>
    <w:rsid w:val="00FF0ABD"/>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Strong">
    <w:name w:val="Strong"/>
    <w:basedOn w:val="DefaultParagraphFont"/>
    <w:uiPriority w:val="22"/>
    <w:qFormat/>
    <w:rsid w:val="008E2175"/>
    <w:rPr>
      <w:b/>
      <w:bCs/>
    </w:rPr>
  </w:style>
  <w:style w:type="paragraph" w:styleId="Revision">
    <w:name w:val="Revision"/>
    <w:hidden/>
    <w:uiPriority w:val="99"/>
    <w:semiHidden/>
    <w:rsid w:val="0050435B"/>
    <w:rPr>
      <w:rFonts w:ascii="Times New Roman" w:hAnsi="Times New Roman"/>
      <w:lang w:eastAsia="en-US"/>
    </w:rPr>
  </w:style>
  <w:style w:type="character" w:customStyle="1" w:styleId="Heading1Char">
    <w:name w:val="Heading 1 Char"/>
    <w:basedOn w:val="DefaultParagraphFont"/>
    <w:link w:val="Heading1"/>
    <w:rsid w:val="00F22E6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37588">
      <w:bodyDiv w:val="1"/>
      <w:marLeft w:val="0"/>
      <w:marRight w:val="0"/>
      <w:marTop w:val="0"/>
      <w:marBottom w:val="0"/>
      <w:divBdr>
        <w:top w:val="none" w:sz="0" w:space="0" w:color="auto"/>
        <w:left w:val="none" w:sz="0" w:space="0" w:color="auto"/>
        <w:bottom w:val="none" w:sz="0" w:space="0" w:color="auto"/>
        <w:right w:val="none" w:sz="0" w:space="0" w:color="auto"/>
      </w:divBdr>
    </w:div>
    <w:div w:id="1437435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4632836">
      <w:bodyDiv w:val="1"/>
      <w:marLeft w:val="0"/>
      <w:marRight w:val="0"/>
      <w:marTop w:val="0"/>
      <w:marBottom w:val="0"/>
      <w:divBdr>
        <w:top w:val="none" w:sz="0" w:space="0" w:color="auto"/>
        <w:left w:val="none" w:sz="0" w:space="0" w:color="auto"/>
        <w:bottom w:val="none" w:sz="0" w:space="0" w:color="auto"/>
        <w:right w:val="none" w:sz="0" w:space="0" w:color="auto"/>
      </w:divBdr>
    </w:div>
    <w:div w:id="234173180">
      <w:bodyDiv w:val="1"/>
      <w:marLeft w:val="0"/>
      <w:marRight w:val="0"/>
      <w:marTop w:val="0"/>
      <w:marBottom w:val="0"/>
      <w:divBdr>
        <w:top w:val="none" w:sz="0" w:space="0" w:color="auto"/>
        <w:left w:val="none" w:sz="0" w:space="0" w:color="auto"/>
        <w:bottom w:val="none" w:sz="0" w:space="0" w:color="auto"/>
        <w:right w:val="none" w:sz="0" w:space="0" w:color="auto"/>
      </w:divBdr>
      <w:divsChild>
        <w:div w:id="564148952">
          <w:marLeft w:val="0"/>
          <w:marRight w:val="0"/>
          <w:marTop w:val="0"/>
          <w:marBottom w:val="0"/>
          <w:divBdr>
            <w:top w:val="none" w:sz="0" w:space="0" w:color="auto"/>
            <w:left w:val="none" w:sz="0" w:space="0" w:color="auto"/>
            <w:bottom w:val="none" w:sz="0" w:space="0" w:color="auto"/>
            <w:right w:val="none" w:sz="0" w:space="0" w:color="auto"/>
          </w:divBdr>
        </w:div>
      </w:divsChild>
    </w:div>
    <w:div w:id="381752200">
      <w:bodyDiv w:val="1"/>
      <w:marLeft w:val="0"/>
      <w:marRight w:val="0"/>
      <w:marTop w:val="0"/>
      <w:marBottom w:val="0"/>
      <w:divBdr>
        <w:top w:val="none" w:sz="0" w:space="0" w:color="auto"/>
        <w:left w:val="none" w:sz="0" w:space="0" w:color="auto"/>
        <w:bottom w:val="none" w:sz="0" w:space="0" w:color="auto"/>
        <w:right w:val="none" w:sz="0" w:space="0" w:color="auto"/>
      </w:divBdr>
    </w:div>
    <w:div w:id="450708873">
      <w:bodyDiv w:val="1"/>
      <w:marLeft w:val="0"/>
      <w:marRight w:val="0"/>
      <w:marTop w:val="0"/>
      <w:marBottom w:val="0"/>
      <w:divBdr>
        <w:top w:val="none" w:sz="0" w:space="0" w:color="auto"/>
        <w:left w:val="none" w:sz="0" w:space="0" w:color="auto"/>
        <w:bottom w:val="none" w:sz="0" w:space="0" w:color="auto"/>
        <w:right w:val="none" w:sz="0" w:space="0" w:color="auto"/>
      </w:divBdr>
    </w:div>
    <w:div w:id="463159596">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7516613">
      <w:bodyDiv w:val="1"/>
      <w:marLeft w:val="0"/>
      <w:marRight w:val="0"/>
      <w:marTop w:val="0"/>
      <w:marBottom w:val="0"/>
      <w:divBdr>
        <w:top w:val="none" w:sz="0" w:space="0" w:color="auto"/>
        <w:left w:val="none" w:sz="0" w:space="0" w:color="auto"/>
        <w:bottom w:val="none" w:sz="0" w:space="0" w:color="auto"/>
        <w:right w:val="none" w:sz="0" w:space="0" w:color="auto"/>
      </w:divBdr>
    </w:div>
    <w:div w:id="637801354">
      <w:bodyDiv w:val="1"/>
      <w:marLeft w:val="0"/>
      <w:marRight w:val="0"/>
      <w:marTop w:val="0"/>
      <w:marBottom w:val="0"/>
      <w:divBdr>
        <w:top w:val="none" w:sz="0" w:space="0" w:color="auto"/>
        <w:left w:val="none" w:sz="0" w:space="0" w:color="auto"/>
        <w:bottom w:val="none" w:sz="0" w:space="0" w:color="auto"/>
        <w:right w:val="none" w:sz="0" w:space="0" w:color="auto"/>
      </w:divBdr>
      <w:divsChild>
        <w:div w:id="11690611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7530056">
      <w:bodyDiv w:val="1"/>
      <w:marLeft w:val="0"/>
      <w:marRight w:val="0"/>
      <w:marTop w:val="0"/>
      <w:marBottom w:val="0"/>
      <w:divBdr>
        <w:top w:val="none" w:sz="0" w:space="0" w:color="auto"/>
        <w:left w:val="none" w:sz="0" w:space="0" w:color="auto"/>
        <w:bottom w:val="none" w:sz="0" w:space="0" w:color="auto"/>
        <w:right w:val="none" w:sz="0" w:space="0" w:color="auto"/>
      </w:divBdr>
    </w:div>
    <w:div w:id="803085716">
      <w:bodyDiv w:val="1"/>
      <w:marLeft w:val="0"/>
      <w:marRight w:val="0"/>
      <w:marTop w:val="0"/>
      <w:marBottom w:val="0"/>
      <w:divBdr>
        <w:top w:val="none" w:sz="0" w:space="0" w:color="auto"/>
        <w:left w:val="none" w:sz="0" w:space="0" w:color="auto"/>
        <w:bottom w:val="none" w:sz="0" w:space="0" w:color="auto"/>
        <w:right w:val="none" w:sz="0" w:space="0" w:color="auto"/>
      </w:divBdr>
    </w:div>
    <w:div w:id="885218891">
      <w:bodyDiv w:val="1"/>
      <w:marLeft w:val="0"/>
      <w:marRight w:val="0"/>
      <w:marTop w:val="0"/>
      <w:marBottom w:val="0"/>
      <w:divBdr>
        <w:top w:val="none" w:sz="0" w:space="0" w:color="auto"/>
        <w:left w:val="none" w:sz="0" w:space="0" w:color="auto"/>
        <w:bottom w:val="none" w:sz="0" w:space="0" w:color="auto"/>
        <w:right w:val="none" w:sz="0" w:space="0" w:color="auto"/>
      </w:divBdr>
    </w:div>
    <w:div w:id="916091640">
      <w:bodyDiv w:val="1"/>
      <w:marLeft w:val="0"/>
      <w:marRight w:val="0"/>
      <w:marTop w:val="0"/>
      <w:marBottom w:val="0"/>
      <w:divBdr>
        <w:top w:val="none" w:sz="0" w:space="0" w:color="auto"/>
        <w:left w:val="none" w:sz="0" w:space="0" w:color="auto"/>
        <w:bottom w:val="none" w:sz="0" w:space="0" w:color="auto"/>
        <w:right w:val="none" w:sz="0" w:space="0" w:color="auto"/>
      </w:divBdr>
    </w:div>
    <w:div w:id="997490650">
      <w:bodyDiv w:val="1"/>
      <w:marLeft w:val="0"/>
      <w:marRight w:val="0"/>
      <w:marTop w:val="0"/>
      <w:marBottom w:val="0"/>
      <w:divBdr>
        <w:top w:val="none" w:sz="0" w:space="0" w:color="auto"/>
        <w:left w:val="none" w:sz="0" w:space="0" w:color="auto"/>
        <w:bottom w:val="none" w:sz="0" w:space="0" w:color="auto"/>
        <w:right w:val="none" w:sz="0" w:space="0" w:color="auto"/>
      </w:divBdr>
      <w:divsChild>
        <w:div w:id="1793203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435656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070307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4386481">
      <w:bodyDiv w:val="1"/>
      <w:marLeft w:val="0"/>
      <w:marRight w:val="0"/>
      <w:marTop w:val="0"/>
      <w:marBottom w:val="0"/>
      <w:divBdr>
        <w:top w:val="none" w:sz="0" w:space="0" w:color="auto"/>
        <w:left w:val="none" w:sz="0" w:space="0" w:color="auto"/>
        <w:bottom w:val="none" w:sz="0" w:space="0" w:color="auto"/>
        <w:right w:val="none" w:sz="0" w:space="0" w:color="auto"/>
      </w:divBdr>
    </w:div>
    <w:div w:id="1411006459">
      <w:bodyDiv w:val="1"/>
      <w:marLeft w:val="0"/>
      <w:marRight w:val="0"/>
      <w:marTop w:val="0"/>
      <w:marBottom w:val="0"/>
      <w:divBdr>
        <w:top w:val="none" w:sz="0" w:space="0" w:color="auto"/>
        <w:left w:val="none" w:sz="0" w:space="0" w:color="auto"/>
        <w:bottom w:val="none" w:sz="0" w:space="0" w:color="auto"/>
        <w:right w:val="none" w:sz="0" w:space="0" w:color="auto"/>
      </w:divBdr>
    </w:div>
    <w:div w:id="1419059914">
      <w:bodyDiv w:val="1"/>
      <w:marLeft w:val="0"/>
      <w:marRight w:val="0"/>
      <w:marTop w:val="0"/>
      <w:marBottom w:val="0"/>
      <w:divBdr>
        <w:top w:val="none" w:sz="0" w:space="0" w:color="auto"/>
        <w:left w:val="none" w:sz="0" w:space="0" w:color="auto"/>
        <w:bottom w:val="none" w:sz="0" w:space="0" w:color="auto"/>
        <w:right w:val="none" w:sz="0" w:space="0" w:color="auto"/>
      </w:divBdr>
    </w:div>
    <w:div w:id="1426992963">
      <w:bodyDiv w:val="1"/>
      <w:marLeft w:val="0"/>
      <w:marRight w:val="0"/>
      <w:marTop w:val="0"/>
      <w:marBottom w:val="0"/>
      <w:divBdr>
        <w:top w:val="none" w:sz="0" w:space="0" w:color="auto"/>
        <w:left w:val="none" w:sz="0" w:space="0" w:color="auto"/>
        <w:bottom w:val="none" w:sz="0" w:space="0" w:color="auto"/>
        <w:right w:val="none" w:sz="0" w:space="0" w:color="auto"/>
      </w:divBdr>
    </w:div>
    <w:div w:id="1476727097">
      <w:bodyDiv w:val="1"/>
      <w:marLeft w:val="0"/>
      <w:marRight w:val="0"/>
      <w:marTop w:val="0"/>
      <w:marBottom w:val="0"/>
      <w:divBdr>
        <w:top w:val="none" w:sz="0" w:space="0" w:color="auto"/>
        <w:left w:val="none" w:sz="0" w:space="0" w:color="auto"/>
        <w:bottom w:val="none" w:sz="0" w:space="0" w:color="auto"/>
        <w:right w:val="none" w:sz="0" w:space="0" w:color="auto"/>
      </w:divBdr>
      <w:divsChild>
        <w:div w:id="90392083">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0256404">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5659393">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3545063">
      <w:bodyDiv w:val="1"/>
      <w:marLeft w:val="0"/>
      <w:marRight w:val="0"/>
      <w:marTop w:val="0"/>
      <w:marBottom w:val="0"/>
      <w:divBdr>
        <w:top w:val="none" w:sz="0" w:space="0" w:color="auto"/>
        <w:left w:val="none" w:sz="0" w:space="0" w:color="auto"/>
        <w:bottom w:val="none" w:sz="0" w:space="0" w:color="auto"/>
        <w:right w:val="none" w:sz="0" w:space="0" w:color="auto"/>
      </w:divBdr>
    </w:div>
    <w:div w:id="18997010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103610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197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065BD-68BA-451E-B3BB-A9AF88B3BD7F}">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8D02195F-58EB-49C6-AE66-B22CBC0789BB}">
  <ds:schemaRefs>
    <ds:schemaRef ds:uri="http://schemas.microsoft.com/sharepoint/v3/contenttype/forms"/>
  </ds:schemaRefs>
</ds:datastoreItem>
</file>

<file path=customXml/itemProps3.xml><?xml version="1.0" encoding="utf-8"?>
<ds:datastoreItem xmlns:ds="http://schemas.openxmlformats.org/officeDocument/2006/customXml" ds:itemID="{B3048F3A-AFB3-47D1-A262-C4656F291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78005ce-31f4-4f90-bc26-ec23758efcb0}" enabled="1" method="Standard" siteId="{6d49d47f-3280-4627-8c09-4450bafd1a23}" contentBits="0"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88</TotalTime>
  <Pages>4</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9661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25</cp:revision>
  <cp:lastPrinted>2025-07-23T13:42:00Z</cp:lastPrinted>
  <dcterms:created xsi:type="dcterms:W3CDTF">2025-08-11T09:03:00Z</dcterms:created>
  <dcterms:modified xsi:type="dcterms:W3CDTF">2025-08-15T15:26:00Z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2025-05-08T21:12:27Z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1d97587e-1a9e-4389-bd00-2983d26de64c</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0x010100276BB00055C1104EAD39324CCAC79946</vt:lpwstr>
  </property>
</Properties>
</file>